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40" w:lineRule="auto"/>
        <w:contextualSpacing w:val="0"/>
        <w:jc w:val="center"/>
        <w:rPr>
          <w:b w:val="1"/>
        </w:rPr>
      </w:pPr>
      <w:r w:rsidDel="00000000" w:rsidR="00000000" w:rsidRPr="00000000">
        <w:rPr>
          <w:b w:val="1"/>
          <w:rtl w:val="0"/>
        </w:rPr>
        <w:t xml:space="preserve">Adaptation guidelines</w:t>
      </w:r>
      <w:r w:rsidDel="00000000" w:rsidR="00000000" w:rsidRPr="00000000">
        <w:rPr>
          <w:rtl w:val="0"/>
        </w:rPr>
      </w:r>
    </w:p>
    <w:p w:rsidR="00000000" w:rsidDel="00000000" w:rsidP="00000000" w:rsidRDefault="00000000" w:rsidRPr="00000000" w14:paraId="00000001">
      <w:pPr>
        <w:spacing w:line="240" w:lineRule="auto"/>
        <w:contextualSpacing w:val="0"/>
        <w:jc w:val="center"/>
        <w:rPr>
          <w:b w:val="1"/>
        </w:rPr>
      </w:pPr>
      <w:r w:rsidDel="00000000" w:rsidR="00000000" w:rsidRPr="00000000">
        <w:rPr>
          <w:rtl w:val="0"/>
        </w:rPr>
      </w:r>
    </w:p>
    <w:p w:rsidR="00000000" w:rsidDel="00000000" w:rsidP="00000000" w:rsidRDefault="00000000" w:rsidRPr="00000000" w14:paraId="00000002">
      <w:pPr>
        <w:spacing w:line="240" w:lineRule="auto"/>
        <w:contextualSpacing w:val="0"/>
        <w:rPr>
          <w:b w:val="1"/>
        </w:rPr>
      </w:pPr>
      <w:r w:rsidDel="00000000" w:rsidR="00000000" w:rsidRPr="00000000">
        <w:rPr>
          <w:b w:val="1"/>
          <w:rtl w:val="0"/>
        </w:rPr>
        <w:t xml:space="preserve">Factors to consider when choosing a topic</w:t>
      </w:r>
    </w:p>
    <w:p w:rsidR="00000000" w:rsidDel="00000000" w:rsidP="00000000" w:rsidRDefault="00000000" w:rsidRPr="00000000" w14:paraId="00000003">
      <w:pPr>
        <w:spacing w:line="240" w:lineRule="auto"/>
        <w:contextualSpacing w:val="0"/>
        <w:rPr/>
      </w:pPr>
      <w:r w:rsidDel="00000000" w:rsidR="00000000" w:rsidRPr="00000000">
        <w:rPr>
          <w:rtl w:val="0"/>
        </w:rPr>
        <w:t xml:space="preserve"> </w:t>
      </w:r>
    </w:p>
    <w:p w:rsidR="00000000" w:rsidDel="00000000" w:rsidP="00000000" w:rsidRDefault="00000000" w:rsidRPr="00000000" w14:paraId="00000004">
      <w:pPr>
        <w:numPr>
          <w:ilvl w:val="0"/>
          <w:numId w:val="5"/>
        </w:numPr>
        <w:spacing w:line="240" w:lineRule="auto"/>
        <w:ind w:left="720" w:hanging="360"/>
        <w:contextualSpacing w:val="1"/>
        <w:rPr>
          <w:u w:val="none"/>
        </w:rPr>
      </w:pPr>
      <w:r w:rsidDel="00000000" w:rsidR="00000000" w:rsidRPr="00000000">
        <w:rPr>
          <w:rtl w:val="0"/>
        </w:rPr>
        <w:t xml:space="preserve">Is it relevant to a range of curriculum subjects and individual student interests?</w:t>
      </w:r>
    </w:p>
    <w:p w:rsidR="00000000" w:rsidDel="00000000" w:rsidP="00000000" w:rsidRDefault="00000000" w:rsidRPr="00000000" w14:paraId="00000005">
      <w:pPr>
        <w:numPr>
          <w:ilvl w:val="0"/>
          <w:numId w:val="5"/>
        </w:numPr>
        <w:spacing w:line="240" w:lineRule="auto"/>
        <w:ind w:left="720" w:hanging="360"/>
        <w:contextualSpacing w:val="1"/>
        <w:rPr>
          <w:u w:val="none"/>
        </w:rPr>
      </w:pPr>
      <w:r w:rsidDel="00000000" w:rsidR="00000000" w:rsidRPr="00000000">
        <w:rPr>
          <w:rtl w:val="0"/>
        </w:rPr>
        <w:t xml:space="preserve">Are there sufficient, accessible resources of a suitable level available on the topic?</w:t>
      </w:r>
    </w:p>
    <w:p w:rsidR="00000000" w:rsidDel="00000000" w:rsidP="00000000" w:rsidRDefault="00000000" w:rsidRPr="00000000" w14:paraId="00000006">
      <w:pPr>
        <w:numPr>
          <w:ilvl w:val="0"/>
          <w:numId w:val="5"/>
        </w:numPr>
        <w:spacing w:line="240" w:lineRule="auto"/>
        <w:ind w:left="720" w:hanging="360"/>
        <w:contextualSpacing w:val="1"/>
        <w:rPr>
          <w:u w:val="none"/>
        </w:rPr>
      </w:pPr>
      <w:r w:rsidDel="00000000" w:rsidR="00000000" w:rsidRPr="00000000">
        <w:rPr>
          <w:rtl w:val="0"/>
        </w:rPr>
        <w:t xml:space="preserve">Is there a range of diverse opinions on the topic that allows students to meet the evidence requirements of the standards, for example, contrasting different points of view, identifying problems and possible solutions?</w:t>
      </w:r>
    </w:p>
    <w:p w:rsidR="00000000" w:rsidDel="00000000" w:rsidP="00000000" w:rsidRDefault="00000000" w:rsidRPr="00000000" w14:paraId="00000007">
      <w:pPr>
        <w:numPr>
          <w:ilvl w:val="0"/>
          <w:numId w:val="5"/>
        </w:numPr>
        <w:spacing w:line="240" w:lineRule="auto"/>
        <w:ind w:left="720" w:hanging="360"/>
        <w:contextualSpacing w:val="1"/>
        <w:rPr>
          <w:u w:val="none"/>
        </w:rPr>
      </w:pPr>
      <w:r w:rsidDel="00000000" w:rsidR="00000000" w:rsidRPr="00000000">
        <w:rPr>
          <w:rtl w:val="0"/>
        </w:rPr>
        <w:t xml:space="preserve">Is the topic wide enough and does it have sufficient, accessible resources to allow all four skills to be taught and assessed?</w:t>
      </w:r>
    </w:p>
    <w:p w:rsidR="00000000" w:rsidDel="00000000" w:rsidP="00000000" w:rsidRDefault="00000000" w:rsidRPr="00000000" w14:paraId="00000008">
      <w:pPr>
        <w:numPr>
          <w:ilvl w:val="0"/>
          <w:numId w:val="5"/>
        </w:numPr>
        <w:spacing w:line="240" w:lineRule="auto"/>
        <w:ind w:left="720" w:hanging="360"/>
        <w:contextualSpacing w:val="1"/>
        <w:rPr>
          <w:u w:val="none"/>
        </w:rPr>
      </w:pPr>
      <w:r w:rsidDel="00000000" w:rsidR="00000000" w:rsidRPr="00000000">
        <w:rPr>
          <w:rtl w:val="0"/>
        </w:rPr>
        <w:t xml:space="preserve">Is the topic wide enough to provide for both formative assessment and summative assessment thereby easing the learning burden for students. For example, with the topic ‘Belonging’ it was possible to find enough issues relevant to specific groups e.g. teenagers in general, migrants, teen migrants, migrants in school or different contexts e.g. school, employment</w:t>
      </w:r>
    </w:p>
    <w:p w:rsidR="00000000" w:rsidDel="00000000" w:rsidP="00000000" w:rsidRDefault="00000000" w:rsidRPr="00000000" w14:paraId="00000009">
      <w:pPr>
        <w:numPr>
          <w:ilvl w:val="0"/>
          <w:numId w:val="5"/>
        </w:numPr>
        <w:spacing w:line="240" w:lineRule="auto"/>
        <w:ind w:left="720" w:hanging="360"/>
        <w:contextualSpacing w:val="1"/>
        <w:rPr>
          <w:u w:val="none"/>
        </w:rPr>
      </w:pPr>
      <w:r w:rsidDel="00000000" w:rsidR="00000000" w:rsidRPr="00000000">
        <w:rPr>
          <w:rtl w:val="0"/>
        </w:rPr>
        <w:t xml:space="preserve">Will the topic will remain current for some time?</w:t>
      </w:r>
    </w:p>
    <w:p w:rsidR="00000000" w:rsidDel="00000000" w:rsidP="00000000" w:rsidRDefault="00000000" w:rsidRPr="00000000" w14:paraId="0000000A">
      <w:pPr>
        <w:spacing w:line="240" w:lineRule="auto"/>
        <w:contextualSpacing w:val="0"/>
        <w:rPr/>
      </w:pPr>
      <w:r w:rsidDel="00000000" w:rsidR="00000000" w:rsidRPr="00000000">
        <w:rPr>
          <w:rtl w:val="0"/>
        </w:rPr>
        <w:t xml:space="preserve"> </w:t>
      </w:r>
    </w:p>
    <w:p w:rsidR="00000000" w:rsidDel="00000000" w:rsidP="00000000" w:rsidRDefault="00000000" w:rsidRPr="00000000" w14:paraId="0000000B">
      <w:pPr>
        <w:spacing w:line="240" w:lineRule="auto"/>
        <w:contextualSpacing w:val="0"/>
        <w:rPr>
          <w:b w:val="1"/>
        </w:rPr>
      </w:pPr>
      <w:r w:rsidDel="00000000" w:rsidR="00000000" w:rsidRPr="00000000">
        <w:rPr>
          <w:b w:val="1"/>
          <w:rtl w:val="0"/>
        </w:rPr>
        <w:t xml:space="preserve">Possible topics might include:</w:t>
      </w:r>
    </w:p>
    <w:p w:rsidR="00000000" w:rsidDel="00000000" w:rsidP="00000000" w:rsidRDefault="00000000" w:rsidRPr="00000000" w14:paraId="0000000C">
      <w:pPr>
        <w:numPr>
          <w:ilvl w:val="0"/>
          <w:numId w:val="3"/>
        </w:numPr>
        <w:spacing w:line="240" w:lineRule="auto"/>
        <w:ind w:left="720" w:hanging="360"/>
        <w:contextualSpacing w:val="1"/>
        <w:rPr/>
      </w:pPr>
      <w:r w:rsidDel="00000000" w:rsidR="00000000" w:rsidRPr="00000000">
        <w:rPr>
          <w:rtl w:val="0"/>
        </w:rPr>
        <w:t xml:space="preserve">Factors that help migrants to succeed in a new country</w:t>
      </w:r>
    </w:p>
    <w:p w:rsidR="00000000" w:rsidDel="00000000" w:rsidP="00000000" w:rsidRDefault="00000000" w:rsidRPr="00000000" w14:paraId="0000000D">
      <w:pPr>
        <w:numPr>
          <w:ilvl w:val="0"/>
          <w:numId w:val="3"/>
        </w:numPr>
        <w:spacing w:line="240" w:lineRule="auto"/>
        <w:ind w:left="720" w:hanging="360"/>
        <w:contextualSpacing w:val="1"/>
        <w:rPr>
          <w:u w:val="none"/>
        </w:rPr>
      </w:pPr>
      <w:r w:rsidDel="00000000" w:rsidR="00000000" w:rsidRPr="00000000">
        <w:rPr>
          <w:rtl w:val="0"/>
        </w:rPr>
        <w:t xml:space="preserve">The impact of racism and / or discrimination on a sense of belonging</w:t>
      </w:r>
    </w:p>
    <w:p w:rsidR="00000000" w:rsidDel="00000000" w:rsidP="00000000" w:rsidRDefault="00000000" w:rsidRPr="00000000" w14:paraId="0000000E">
      <w:pPr>
        <w:numPr>
          <w:ilvl w:val="0"/>
          <w:numId w:val="3"/>
        </w:numPr>
        <w:spacing w:line="240" w:lineRule="auto"/>
        <w:ind w:left="720" w:hanging="360"/>
        <w:contextualSpacing w:val="1"/>
        <w:rPr>
          <w:u w:val="none"/>
        </w:rPr>
      </w:pPr>
      <w:r w:rsidDel="00000000" w:rsidR="00000000" w:rsidRPr="00000000">
        <w:rPr>
          <w:rtl w:val="0"/>
        </w:rPr>
        <w:t xml:space="preserve">Successful belonging interventions</w:t>
      </w:r>
    </w:p>
    <w:p w:rsidR="00000000" w:rsidDel="00000000" w:rsidP="00000000" w:rsidRDefault="00000000" w:rsidRPr="00000000" w14:paraId="0000000F">
      <w:pPr>
        <w:numPr>
          <w:ilvl w:val="0"/>
          <w:numId w:val="3"/>
        </w:numPr>
        <w:spacing w:line="240" w:lineRule="auto"/>
        <w:ind w:left="720" w:hanging="360"/>
        <w:contextualSpacing w:val="1"/>
        <w:rPr>
          <w:u w:val="none"/>
        </w:rPr>
      </w:pPr>
      <w:r w:rsidDel="00000000" w:rsidR="00000000" w:rsidRPr="00000000">
        <w:rPr>
          <w:rtl w:val="0"/>
        </w:rPr>
        <w:t xml:space="preserve">What are the signs of belonging?</w:t>
      </w:r>
    </w:p>
    <w:p w:rsidR="00000000" w:rsidDel="00000000" w:rsidP="00000000" w:rsidRDefault="00000000" w:rsidRPr="00000000" w14:paraId="00000010">
      <w:pPr>
        <w:numPr>
          <w:ilvl w:val="0"/>
          <w:numId w:val="3"/>
        </w:numPr>
        <w:spacing w:line="240" w:lineRule="auto"/>
        <w:ind w:left="720" w:hanging="360"/>
        <w:contextualSpacing w:val="1"/>
        <w:rPr>
          <w:u w:val="none"/>
        </w:rPr>
      </w:pPr>
      <w:r w:rsidDel="00000000" w:rsidR="00000000" w:rsidRPr="00000000">
        <w:rPr>
          <w:rtl w:val="0"/>
        </w:rPr>
        <w:t xml:space="preserve">What are the impacts of migration on a country / community /school</w:t>
      </w:r>
    </w:p>
    <w:p w:rsidR="00000000" w:rsidDel="00000000" w:rsidP="00000000" w:rsidRDefault="00000000" w:rsidRPr="00000000" w14:paraId="00000011">
      <w:pPr>
        <w:spacing w:line="240" w:lineRule="auto"/>
        <w:contextualSpacing w:val="0"/>
        <w:rPr>
          <w:b w:val="1"/>
        </w:rPr>
      </w:pPr>
      <w:r w:rsidDel="00000000" w:rsidR="00000000" w:rsidRPr="00000000">
        <w:rPr>
          <w:rtl w:val="0"/>
        </w:rPr>
      </w:r>
    </w:p>
    <w:p w:rsidR="00000000" w:rsidDel="00000000" w:rsidP="00000000" w:rsidRDefault="00000000" w:rsidRPr="00000000" w14:paraId="00000012">
      <w:pPr>
        <w:spacing w:line="240" w:lineRule="auto"/>
        <w:contextualSpacing w:val="0"/>
        <w:rPr>
          <w:b w:val="1"/>
        </w:rPr>
      </w:pPr>
      <w:r w:rsidDel="00000000" w:rsidR="00000000" w:rsidRPr="00000000">
        <w:rPr>
          <w:b w:val="1"/>
          <w:rtl w:val="0"/>
        </w:rPr>
        <w:t xml:space="preserve">Factors to consider when adapting the Teaching and Learning Sequences</w:t>
      </w:r>
    </w:p>
    <w:p w:rsidR="00000000" w:rsidDel="00000000" w:rsidP="00000000" w:rsidRDefault="00000000" w:rsidRPr="00000000" w14:paraId="00000013">
      <w:pPr>
        <w:spacing w:line="240" w:lineRule="auto"/>
        <w:contextualSpacing w:val="0"/>
        <w:rPr/>
      </w:pPr>
      <w:r w:rsidDel="00000000" w:rsidR="00000000" w:rsidRPr="00000000">
        <w:rPr>
          <w:rtl w:val="0"/>
        </w:rPr>
        <w:t xml:space="preserve"> </w:t>
      </w:r>
    </w:p>
    <w:p w:rsidR="00000000" w:rsidDel="00000000" w:rsidP="00000000" w:rsidRDefault="00000000" w:rsidRPr="00000000" w14:paraId="00000014">
      <w:pPr>
        <w:spacing w:line="240" w:lineRule="auto"/>
        <w:contextualSpacing w:val="0"/>
        <w:rPr/>
      </w:pPr>
      <w:r w:rsidDel="00000000" w:rsidR="00000000" w:rsidRPr="00000000">
        <w:rPr>
          <w:rtl w:val="0"/>
        </w:rPr>
        <w:t xml:space="preserve">For the unit standard you have selected complete the following:</w:t>
      </w:r>
    </w:p>
    <w:p w:rsidR="00000000" w:rsidDel="00000000" w:rsidP="00000000" w:rsidRDefault="00000000" w:rsidRPr="00000000" w14:paraId="00000015">
      <w:pPr>
        <w:spacing w:line="240" w:lineRule="auto"/>
        <w:contextualSpacing w:val="0"/>
        <w:rPr/>
      </w:pPr>
      <w:r w:rsidDel="00000000" w:rsidR="00000000" w:rsidRPr="00000000">
        <w:rPr>
          <w:rtl w:val="0"/>
        </w:rPr>
        <w:t xml:space="preserve"> </w:t>
      </w:r>
    </w:p>
    <w:p w:rsidR="00000000" w:rsidDel="00000000" w:rsidP="00000000" w:rsidRDefault="00000000" w:rsidRPr="00000000" w14:paraId="00000016">
      <w:pPr>
        <w:numPr>
          <w:ilvl w:val="0"/>
          <w:numId w:val="4"/>
        </w:numPr>
        <w:spacing w:line="240" w:lineRule="auto"/>
        <w:ind w:left="720" w:hanging="360"/>
        <w:contextualSpacing w:val="1"/>
        <w:rPr>
          <w:u w:val="none"/>
        </w:rPr>
      </w:pPr>
      <w:r w:rsidDel="00000000" w:rsidR="00000000" w:rsidRPr="00000000">
        <w:rPr>
          <w:rtl w:val="0"/>
        </w:rPr>
        <w:t xml:space="preserve">Locate the learning tasks.</w:t>
      </w:r>
    </w:p>
    <w:p w:rsidR="00000000" w:rsidDel="00000000" w:rsidP="00000000" w:rsidRDefault="00000000" w:rsidRPr="00000000" w14:paraId="00000017">
      <w:pPr>
        <w:numPr>
          <w:ilvl w:val="1"/>
          <w:numId w:val="4"/>
        </w:numPr>
        <w:spacing w:line="240" w:lineRule="auto"/>
        <w:ind w:left="1440" w:hanging="360"/>
        <w:contextualSpacing w:val="1"/>
        <w:rPr>
          <w:u w:val="none"/>
        </w:rPr>
      </w:pPr>
      <w:r w:rsidDel="00000000" w:rsidR="00000000" w:rsidRPr="00000000">
        <w:rPr>
          <w:rtl w:val="0"/>
        </w:rPr>
        <w:t xml:space="preserve">The</w:t>
      </w:r>
      <w:r w:rsidDel="00000000" w:rsidR="00000000" w:rsidRPr="00000000">
        <w:rPr>
          <w:i w:val="1"/>
          <w:rtl w:val="0"/>
        </w:rPr>
        <w:t xml:space="preserve"> Learning Tasks</w:t>
      </w:r>
      <w:r w:rsidDel="00000000" w:rsidR="00000000" w:rsidRPr="00000000">
        <w:rPr>
          <w:rtl w:val="0"/>
        </w:rPr>
        <w:t xml:space="preserve"> are divided into a series of </w:t>
      </w:r>
      <w:r w:rsidDel="00000000" w:rsidR="00000000" w:rsidRPr="00000000">
        <w:rPr>
          <w:i w:val="1"/>
          <w:rtl w:val="0"/>
        </w:rPr>
        <w:t xml:space="preserve">Teaching and learning sequences</w:t>
      </w:r>
      <w:r w:rsidDel="00000000" w:rsidR="00000000" w:rsidRPr="00000000">
        <w:rPr>
          <w:rtl w:val="0"/>
        </w:rPr>
        <w:t xml:space="preserve"> and are designed to scaffold students to meet the requirements of the standard.</w:t>
      </w:r>
    </w:p>
    <w:p w:rsidR="00000000" w:rsidDel="00000000" w:rsidP="00000000" w:rsidRDefault="00000000" w:rsidRPr="00000000" w14:paraId="00000018">
      <w:pPr>
        <w:numPr>
          <w:ilvl w:val="1"/>
          <w:numId w:val="4"/>
        </w:numPr>
        <w:spacing w:line="240" w:lineRule="auto"/>
        <w:ind w:left="1440" w:hanging="360"/>
        <w:contextualSpacing w:val="1"/>
        <w:rPr>
          <w:u w:val="none"/>
        </w:rPr>
      </w:pPr>
      <w:r w:rsidDel="00000000" w:rsidR="00000000" w:rsidRPr="00000000">
        <w:rPr>
          <w:rtl w:val="0"/>
        </w:rPr>
        <w:t xml:space="preserve">Each </w:t>
      </w:r>
      <w:r w:rsidDel="00000000" w:rsidR="00000000" w:rsidRPr="00000000">
        <w:rPr>
          <w:i w:val="1"/>
          <w:rtl w:val="0"/>
        </w:rPr>
        <w:t xml:space="preserve">Teaching and learning sequence </w:t>
      </w:r>
      <w:r w:rsidDel="00000000" w:rsidR="00000000" w:rsidRPr="00000000">
        <w:rPr>
          <w:rtl w:val="0"/>
        </w:rPr>
        <w:t xml:space="preserve">focuses on a specific skill that students needs to develop and is linked to the performance criteria of the unit standards</w:t>
      </w:r>
    </w:p>
    <w:p w:rsidR="00000000" w:rsidDel="00000000" w:rsidP="00000000" w:rsidRDefault="00000000" w:rsidRPr="00000000" w14:paraId="00000019">
      <w:pPr>
        <w:spacing w:line="240" w:lineRule="auto"/>
        <w:contextualSpacing w:val="0"/>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contextualSpacing w:val="1"/>
        <w:rPr>
          <w:u w:val="none"/>
        </w:rPr>
      </w:pPr>
      <w:r w:rsidDel="00000000" w:rsidR="00000000" w:rsidRPr="00000000">
        <w:rPr>
          <w:rtl w:val="0"/>
        </w:rPr>
        <w:t xml:space="preserve">Teaching and learning sequences:</w:t>
      </w:r>
    </w:p>
    <w:p w:rsidR="00000000" w:rsidDel="00000000" w:rsidP="00000000" w:rsidRDefault="00000000" w:rsidRPr="00000000" w14:paraId="0000001B">
      <w:pPr>
        <w:numPr>
          <w:ilvl w:val="1"/>
          <w:numId w:val="2"/>
        </w:numPr>
        <w:spacing w:line="240" w:lineRule="auto"/>
        <w:ind w:left="1440" w:hanging="360"/>
        <w:contextualSpacing w:val="1"/>
        <w:rPr>
          <w:u w:val="none"/>
        </w:rPr>
      </w:pPr>
      <w:r w:rsidDel="00000000" w:rsidR="00000000" w:rsidRPr="00000000">
        <w:rPr>
          <w:rtl w:val="0"/>
        </w:rPr>
        <w:t xml:space="preserve">Adapt the suggested tasks and texts to your context</w:t>
      </w:r>
    </w:p>
    <w:p w:rsidR="00000000" w:rsidDel="00000000" w:rsidP="00000000" w:rsidRDefault="00000000" w:rsidRPr="00000000" w14:paraId="0000001C">
      <w:pPr>
        <w:numPr>
          <w:ilvl w:val="1"/>
          <w:numId w:val="2"/>
        </w:numPr>
        <w:spacing w:line="240" w:lineRule="auto"/>
        <w:ind w:left="1440" w:hanging="360"/>
        <w:contextualSpacing w:val="1"/>
        <w:rPr>
          <w:u w:val="none"/>
        </w:rPr>
      </w:pPr>
      <w:r w:rsidDel="00000000" w:rsidR="00000000" w:rsidRPr="00000000">
        <w:rPr>
          <w:rtl w:val="0"/>
        </w:rPr>
        <w:t xml:space="preserve">or select different tasks that will assist your students to meet the requirements of the specific performance criteria. A range of strategies can be found in the ESOL teaching strategies section of ESOL Online:</w:t>
      </w:r>
    </w:p>
    <w:p w:rsidR="00000000" w:rsidDel="00000000" w:rsidP="00000000" w:rsidRDefault="00000000" w:rsidRPr="00000000" w14:paraId="0000001D">
      <w:pPr>
        <w:spacing w:line="240" w:lineRule="auto"/>
        <w:ind w:left="1440" w:firstLine="0"/>
        <w:contextualSpacing w:val="0"/>
        <w:rPr/>
      </w:pPr>
      <w:r w:rsidDel="00000000" w:rsidR="00000000" w:rsidRPr="00000000">
        <w:rPr>
          <w:rtl w:val="0"/>
        </w:rPr>
        <w:t xml:space="preserve">(</w:t>
      </w:r>
      <w:hyperlink r:id="rId6">
        <w:r w:rsidDel="00000000" w:rsidR="00000000" w:rsidRPr="00000000">
          <w:rPr>
            <w:color w:val="1155cc"/>
            <w:u w:val="single"/>
            <w:rtl w:val="0"/>
          </w:rPr>
          <w:t xml:space="preserve">http://esolonline.tki.org.nz/ESOL-Online/Teacher-needs/Pedagogy/ESOL-teaching-strategies</w:t>
        </w:r>
      </w:hyperlink>
      <w:r w:rsidDel="00000000" w:rsidR="00000000" w:rsidRPr="00000000">
        <w:rPr>
          <w:rtl w:val="0"/>
        </w:rPr>
        <w:t xml:space="preserve">)</w:t>
      </w:r>
    </w:p>
    <w:p w:rsidR="00000000" w:rsidDel="00000000" w:rsidP="00000000" w:rsidRDefault="00000000" w:rsidRPr="00000000" w14:paraId="0000001E">
      <w:pPr>
        <w:spacing w:line="240" w:lineRule="auto"/>
        <w:contextualSpacing w:val="0"/>
        <w:rPr/>
      </w:pPr>
      <w:r w:rsidDel="00000000" w:rsidR="00000000" w:rsidRPr="00000000">
        <w:rPr>
          <w:rtl w:val="0"/>
        </w:rPr>
      </w:r>
    </w:p>
    <w:p w:rsidR="00000000" w:rsidDel="00000000" w:rsidP="00000000" w:rsidRDefault="00000000" w:rsidRPr="00000000" w14:paraId="0000001F">
      <w:pPr>
        <w:spacing w:line="240" w:lineRule="auto"/>
        <w:contextualSpacing w:val="0"/>
        <w:rPr>
          <w:b w:val="1"/>
        </w:rPr>
      </w:pPr>
      <w:r w:rsidDel="00000000" w:rsidR="00000000" w:rsidRPr="00000000">
        <w:rPr>
          <w:b w:val="1"/>
          <w:rtl w:val="0"/>
        </w:rPr>
        <w:t xml:space="preserve">Factors to consider when adapting the formative assessment</w:t>
      </w:r>
    </w:p>
    <w:p w:rsidR="00000000" w:rsidDel="00000000" w:rsidP="00000000" w:rsidRDefault="00000000" w:rsidRPr="00000000" w14:paraId="00000020">
      <w:pPr>
        <w:spacing w:line="240" w:lineRule="auto"/>
        <w:contextualSpacing w:val="0"/>
        <w:rPr>
          <w:b w:val="1"/>
        </w:rPr>
      </w:pPr>
      <w:r w:rsidDel="00000000" w:rsidR="00000000" w:rsidRPr="00000000">
        <w:rPr>
          <w:rtl w:val="0"/>
        </w:rPr>
      </w:r>
    </w:p>
    <w:p w:rsidR="00000000" w:rsidDel="00000000" w:rsidP="00000000" w:rsidRDefault="00000000" w:rsidRPr="00000000" w14:paraId="00000021">
      <w:pPr>
        <w:spacing w:line="240" w:lineRule="auto"/>
        <w:contextualSpacing w:val="0"/>
        <w:rPr>
          <w:b w:val="1"/>
        </w:rPr>
      </w:pPr>
      <w:r w:rsidDel="00000000" w:rsidR="00000000" w:rsidRPr="00000000">
        <w:rPr>
          <w:b w:val="1"/>
          <w:rtl w:val="0"/>
        </w:rPr>
        <w:t xml:space="preserve">1. The task</w:t>
      </w:r>
    </w:p>
    <w:p w:rsidR="00000000" w:rsidDel="00000000" w:rsidP="00000000" w:rsidRDefault="00000000" w:rsidRPr="00000000" w14:paraId="00000022">
      <w:pPr>
        <w:spacing w:line="240" w:lineRule="auto"/>
        <w:contextualSpacing w:val="0"/>
        <w:rPr/>
      </w:pPr>
      <w:r w:rsidDel="00000000" w:rsidR="00000000" w:rsidRPr="00000000">
        <w:rPr>
          <w:rtl w:val="0"/>
        </w:rPr>
        <w:t xml:space="preserve">For listening and reading, the academic purpose and the research question are chosen by the assessor.</w:t>
      </w:r>
    </w:p>
    <w:p w:rsidR="00000000" w:rsidDel="00000000" w:rsidP="00000000" w:rsidRDefault="00000000" w:rsidRPr="00000000" w14:paraId="00000023">
      <w:pPr>
        <w:spacing w:line="240" w:lineRule="auto"/>
        <w:contextualSpacing w:val="0"/>
        <w:rPr/>
      </w:pPr>
      <w:r w:rsidDel="00000000" w:rsidR="00000000" w:rsidRPr="00000000">
        <w:rPr>
          <w:rtl w:val="0"/>
        </w:rPr>
        <w:t xml:space="preserve">For writing and speaking standards, the academic purpose may be determined by the assessor or by the students.</w:t>
      </w:r>
    </w:p>
    <w:p w:rsidR="00000000" w:rsidDel="00000000" w:rsidP="00000000" w:rsidRDefault="00000000" w:rsidRPr="00000000" w14:paraId="00000024">
      <w:pPr>
        <w:spacing w:line="240" w:lineRule="auto"/>
        <w:contextualSpacing w:val="0"/>
        <w:rPr/>
      </w:pPr>
      <w:r w:rsidDel="00000000" w:rsidR="00000000" w:rsidRPr="00000000">
        <w:rPr>
          <w:rtl w:val="0"/>
        </w:rPr>
      </w:r>
    </w:p>
    <w:p w:rsidR="00000000" w:rsidDel="00000000" w:rsidP="00000000" w:rsidRDefault="00000000" w:rsidRPr="00000000" w14:paraId="00000025">
      <w:pPr>
        <w:spacing w:line="240" w:lineRule="auto"/>
        <w:contextualSpacing w:val="0"/>
        <w:rPr/>
      </w:pPr>
      <w:r w:rsidDel="00000000" w:rsidR="00000000" w:rsidRPr="00000000">
        <w:rPr>
          <w:rtl w:val="0"/>
        </w:rPr>
        <w:t xml:space="preserve">The following principles are important in guiding students to choose an appropriate academic purpose and research question.</w:t>
      </w:r>
    </w:p>
    <w:p w:rsidR="00000000" w:rsidDel="00000000" w:rsidP="00000000" w:rsidRDefault="00000000" w:rsidRPr="00000000" w14:paraId="00000026">
      <w:pPr>
        <w:spacing w:line="240" w:lineRule="auto"/>
        <w:contextualSpacing w:val="0"/>
        <w:rPr/>
      </w:pPr>
      <w:r w:rsidDel="00000000" w:rsidR="00000000" w:rsidRPr="00000000">
        <w:rPr>
          <w:rtl w:val="0"/>
        </w:rPr>
      </w:r>
    </w:p>
    <w:p w:rsidR="00000000" w:rsidDel="00000000" w:rsidP="00000000" w:rsidRDefault="00000000" w:rsidRPr="00000000" w14:paraId="00000027">
      <w:pPr>
        <w:numPr>
          <w:ilvl w:val="1"/>
          <w:numId w:val="4"/>
        </w:numPr>
        <w:spacing w:line="240" w:lineRule="auto"/>
        <w:ind w:left="1440" w:hanging="360"/>
        <w:rPr/>
      </w:pPr>
      <w:r w:rsidDel="00000000" w:rsidR="00000000" w:rsidRPr="00000000">
        <w:rPr>
          <w:rtl w:val="0"/>
        </w:rPr>
        <w:t xml:space="preserve">Give students an opportunity to search for available sources at the right level before they make a final decision.</w:t>
      </w:r>
    </w:p>
    <w:p w:rsidR="00000000" w:rsidDel="00000000" w:rsidP="00000000" w:rsidRDefault="00000000" w:rsidRPr="00000000" w14:paraId="00000028">
      <w:pPr>
        <w:numPr>
          <w:ilvl w:val="1"/>
          <w:numId w:val="4"/>
        </w:numPr>
        <w:spacing w:line="240" w:lineRule="auto"/>
        <w:ind w:left="1440" w:hanging="360"/>
        <w:contextualSpacing w:val="1"/>
        <w:rPr/>
      </w:pPr>
      <w:r w:rsidDel="00000000" w:rsidR="00000000" w:rsidRPr="00000000">
        <w:rPr>
          <w:rtl w:val="0"/>
        </w:rPr>
        <w:t xml:space="preserve">Choose a wide topic which will enable students to choose different aspects to develop their presentation on. Provide some possible examples.</w:t>
      </w:r>
    </w:p>
    <w:p w:rsidR="00000000" w:rsidDel="00000000" w:rsidP="00000000" w:rsidRDefault="00000000" w:rsidRPr="00000000" w14:paraId="00000029">
      <w:pPr>
        <w:numPr>
          <w:ilvl w:val="1"/>
          <w:numId w:val="4"/>
        </w:numPr>
        <w:spacing w:line="240" w:lineRule="auto"/>
        <w:ind w:left="1440" w:hanging="360"/>
        <w:contextualSpacing w:val="1"/>
        <w:rPr/>
      </w:pPr>
      <w:r w:rsidDel="00000000" w:rsidR="00000000" w:rsidRPr="00000000">
        <w:rPr>
          <w:rtl w:val="0"/>
        </w:rPr>
        <w:t xml:space="preserve">Give students an opportunity to search for available sources at the right level before they make a final decision.</w:t>
      </w:r>
    </w:p>
    <w:p w:rsidR="00000000" w:rsidDel="00000000" w:rsidP="00000000" w:rsidRDefault="00000000" w:rsidRPr="00000000" w14:paraId="0000002A">
      <w:pPr>
        <w:numPr>
          <w:ilvl w:val="1"/>
          <w:numId w:val="4"/>
        </w:numPr>
        <w:spacing w:line="240" w:lineRule="auto"/>
        <w:ind w:left="1440" w:hanging="360"/>
        <w:contextualSpacing w:val="1"/>
        <w:rPr/>
      </w:pPr>
      <w:r w:rsidDel="00000000" w:rsidR="00000000" w:rsidRPr="00000000">
        <w:rPr>
          <w:rtl w:val="0"/>
        </w:rPr>
        <w:t xml:space="preserve">Ensure the topic links to other unit standards you are using so that students begin with a sound knowledge base of the topic e.g. link reading and writing unit standards. Similarly, link listening and speaking unit standards.</w:t>
      </w:r>
    </w:p>
    <w:p w:rsidR="00000000" w:rsidDel="00000000" w:rsidP="00000000" w:rsidRDefault="00000000" w:rsidRPr="00000000" w14:paraId="0000002B">
      <w:pPr>
        <w:spacing w:line="240" w:lineRule="auto"/>
        <w:contextualSpacing w:val="0"/>
        <w:rPr>
          <w:color w:val="ff0000"/>
        </w:rPr>
      </w:pPr>
      <w:r w:rsidDel="00000000" w:rsidR="00000000" w:rsidRPr="00000000">
        <w:rPr>
          <w:rtl w:val="0"/>
        </w:rPr>
      </w:r>
    </w:p>
    <w:p w:rsidR="00000000" w:rsidDel="00000000" w:rsidP="00000000" w:rsidRDefault="00000000" w:rsidRPr="00000000" w14:paraId="0000002C">
      <w:pPr>
        <w:spacing w:line="240" w:lineRule="auto"/>
        <w:contextualSpacing w:val="0"/>
        <w:rPr>
          <w:b w:val="1"/>
        </w:rPr>
      </w:pPr>
      <w:r w:rsidDel="00000000" w:rsidR="00000000" w:rsidRPr="00000000">
        <w:rPr>
          <w:b w:val="1"/>
          <w:rtl w:val="0"/>
        </w:rPr>
        <w:t xml:space="preserve">2. </w:t>
      </w:r>
      <w:r w:rsidDel="00000000" w:rsidR="00000000" w:rsidRPr="00000000">
        <w:rPr>
          <w:b w:val="1"/>
          <w:rtl w:val="0"/>
        </w:rPr>
        <w:t xml:space="preserve">The assessment schedule</w:t>
      </w:r>
    </w:p>
    <w:p w:rsidR="00000000" w:rsidDel="00000000" w:rsidP="00000000" w:rsidRDefault="00000000" w:rsidRPr="00000000" w14:paraId="0000002D">
      <w:pPr>
        <w:numPr>
          <w:ilvl w:val="0"/>
          <w:numId w:val="1"/>
        </w:numPr>
        <w:spacing w:line="240" w:lineRule="auto"/>
        <w:ind w:left="720" w:hanging="360"/>
        <w:contextualSpacing w:val="1"/>
        <w:rPr/>
      </w:pPr>
      <w:r w:rsidDel="00000000" w:rsidR="00000000" w:rsidRPr="00000000">
        <w:rPr>
          <w:rtl w:val="0"/>
        </w:rPr>
        <w:t xml:space="preserve">Remove the examples and include examples from the topic you have provided in the task.</w:t>
      </w:r>
    </w:p>
    <w:p w:rsidR="00000000" w:rsidDel="00000000" w:rsidP="00000000" w:rsidRDefault="00000000" w:rsidRPr="00000000" w14:paraId="0000002E">
      <w:pPr>
        <w:spacing w:line="240" w:lineRule="auto"/>
        <w:contextualSpacing w:val="0"/>
        <w:rPr/>
      </w:pPr>
      <w:r w:rsidDel="00000000" w:rsidR="00000000" w:rsidRPr="00000000">
        <w:rPr>
          <w:rtl w:val="0"/>
        </w:rPr>
        <w:t xml:space="preserve"> </w:t>
      </w:r>
    </w:p>
    <w:p w:rsidR="00000000" w:rsidDel="00000000" w:rsidP="00000000" w:rsidRDefault="00000000" w:rsidRPr="00000000" w14:paraId="0000002F">
      <w:pPr>
        <w:spacing w:line="240" w:lineRule="auto"/>
        <w:contextualSpacing w:val="0"/>
        <w:rPr/>
      </w:pPr>
      <w:r w:rsidDel="00000000" w:rsidR="00000000" w:rsidRPr="00000000">
        <w:rPr>
          <w:rtl w:val="0"/>
        </w:rPr>
        <w:t xml:space="preserve">The same process can be followed to create summative assessment tasks and assessment schedules.</w:t>
      </w:r>
    </w:p>
    <w:p w:rsidR="00000000" w:rsidDel="00000000" w:rsidP="00000000" w:rsidRDefault="00000000" w:rsidRPr="00000000" w14:paraId="00000030">
      <w:pPr>
        <w:spacing w:line="240" w:lineRule="auto"/>
        <w:contextualSpacing w:val="0"/>
        <w:rPr>
          <w:b w:val="1"/>
        </w:rPr>
      </w:pPr>
      <w:r w:rsidDel="00000000" w:rsidR="00000000" w:rsidRPr="00000000">
        <w:rPr>
          <w:rtl w:val="0"/>
        </w:rPr>
      </w:r>
    </w:p>
    <w:p w:rsidR="00000000" w:rsidDel="00000000" w:rsidP="00000000" w:rsidRDefault="00000000" w:rsidRPr="00000000" w14:paraId="00000031">
      <w:pPr>
        <w:spacing w:line="240" w:lineRule="auto"/>
        <w:contextualSpacing w:val="0"/>
        <w:rPr/>
      </w:pPr>
      <w:r w:rsidDel="00000000" w:rsidR="00000000" w:rsidRPr="00000000">
        <w:rPr>
          <w:rtl w:val="0"/>
        </w:rPr>
      </w:r>
    </w:p>
    <w:p w:rsidR="00000000" w:rsidDel="00000000" w:rsidP="00000000" w:rsidRDefault="00000000" w:rsidRPr="00000000" w14:paraId="00000032">
      <w:pPr>
        <w:spacing w:line="240" w:lineRule="auto"/>
        <w:contextualSpacing w:val="0"/>
        <w:rPr/>
      </w:pPr>
      <w:r w:rsidDel="00000000" w:rsidR="00000000" w:rsidRPr="00000000">
        <w:rPr>
          <w:rtl w:val="0"/>
        </w:rPr>
      </w:r>
    </w:p>
    <w:p w:rsidR="00000000" w:rsidDel="00000000" w:rsidP="00000000" w:rsidRDefault="00000000" w:rsidRPr="00000000" w14:paraId="00000033">
      <w:pPr>
        <w:spacing w:line="240" w:lineRule="auto"/>
        <w:contextualSpacing w:val="0"/>
        <w:rPr/>
      </w:pPr>
      <w:r w:rsidDel="00000000" w:rsidR="00000000" w:rsidRPr="00000000">
        <w:rPr>
          <w:rtl w:val="0"/>
        </w:rPr>
        <w:t xml:space="preserve"> </w:t>
      </w:r>
    </w:p>
    <w:p w:rsidR="00000000" w:rsidDel="00000000" w:rsidP="00000000" w:rsidRDefault="00000000" w:rsidRPr="00000000" w14:paraId="00000034">
      <w:pPr>
        <w:spacing w:line="240" w:lineRule="auto"/>
        <w:contextualSpacing w:val="0"/>
        <w:rPr/>
      </w:pPr>
      <w:r w:rsidDel="00000000" w:rsidR="00000000" w:rsidRPr="00000000">
        <w:rPr>
          <w:rtl w:val="0"/>
        </w:rPr>
        <w:t xml:space="preserve"> </w:t>
      </w:r>
    </w:p>
    <w:p w:rsidR="00000000" w:rsidDel="00000000" w:rsidP="00000000" w:rsidRDefault="00000000" w:rsidRPr="00000000" w14:paraId="00000035">
      <w:pPr>
        <w:contextualSpacing w:val="0"/>
        <w:jc w:val="center"/>
        <w:rPr>
          <w:b w:val="1"/>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esolonline.tki.org.nz/ESOL-Online/Teacher-needs/Pedagogy/ESOL-teaching-strateg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