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650" w:rsidRPr="002B345C" w:rsidRDefault="00542CDD" w:rsidP="00AE4650">
      <w:pPr>
        <w:rPr>
          <w:rFonts w:ascii="Arial" w:hAnsi="Arial" w:cs="Arial"/>
          <w:b/>
          <w:lang w:val="en-NZ"/>
        </w:rPr>
      </w:pPr>
      <w:r w:rsidRPr="002B345C">
        <w:rPr>
          <w:rFonts w:ascii="Arial" w:hAnsi="Arial" w:cs="Arial"/>
          <w:b/>
          <w:lang w:val="en-NZ"/>
        </w:rPr>
        <w:t>Example from Practice</w:t>
      </w:r>
      <w:r w:rsidR="00AE4650" w:rsidRPr="002B345C">
        <w:rPr>
          <w:rFonts w:ascii="Arial" w:hAnsi="Arial" w:cs="Arial"/>
          <w:b/>
          <w:lang w:val="en-N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56"/>
        <w:gridCol w:w="11160"/>
      </w:tblGrid>
      <w:tr w:rsidR="00AE4650" w:rsidRPr="002B345C">
        <w:tc>
          <w:tcPr>
            <w:tcW w:w="3085" w:type="dxa"/>
          </w:tcPr>
          <w:p w:rsidR="00AE4650" w:rsidRPr="002B345C" w:rsidRDefault="00AE4650" w:rsidP="002618D6">
            <w:pPr>
              <w:rPr>
                <w:rFonts w:ascii="Arial" w:hAnsi="Arial" w:cs="Arial"/>
                <w:lang w:val="en-NZ"/>
              </w:rPr>
            </w:pPr>
            <w:r w:rsidRPr="002B345C">
              <w:rPr>
                <w:rFonts w:ascii="Arial" w:hAnsi="Arial" w:cs="Arial"/>
                <w:lang w:val="en-NZ"/>
              </w:rPr>
              <w:t>School Descriptor</w:t>
            </w:r>
          </w:p>
        </w:tc>
        <w:tc>
          <w:tcPr>
            <w:tcW w:w="11531" w:type="dxa"/>
          </w:tcPr>
          <w:p w:rsidR="00AE4650" w:rsidRPr="000805F4" w:rsidRDefault="00AE4650" w:rsidP="00126F5D">
            <w:pPr>
              <w:spacing w:line="240" w:lineRule="auto"/>
              <w:rPr>
                <w:rFonts w:ascii="Arial" w:hAnsi="Arial" w:cs="Arial"/>
                <w:lang w:val="en-NZ"/>
              </w:rPr>
            </w:pPr>
            <w:r w:rsidRPr="000805F4">
              <w:rPr>
                <w:rFonts w:ascii="Arial" w:hAnsi="Arial" w:cs="Arial"/>
                <w:lang w:val="en-NZ"/>
              </w:rPr>
              <w:t>Rural/Urban</w:t>
            </w:r>
            <w:r w:rsidR="0036100A" w:rsidRPr="000805F4">
              <w:rPr>
                <w:rFonts w:ascii="Arial" w:hAnsi="Arial" w:cs="Arial"/>
                <w:lang w:val="en-NZ"/>
              </w:rPr>
              <w:t xml:space="preserve"> – </w:t>
            </w:r>
            <w:r w:rsidR="004C79DF" w:rsidRPr="000805F4">
              <w:rPr>
                <w:rFonts w:ascii="Arial" w:hAnsi="Arial" w:cs="Arial"/>
                <w:i/>
                <w:lang w:val="en-NZ"/>
              </w:rPr>
              <w:t xml:space="preserve">Urban 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>provincial city</w:t>
            </w:r>
          </w:p>
          <w:p w:rsidR="00AE4650" w:rsidRPr="000805F4" w:rsidRDefault="00AE4650" w:rsidP="00126F5D">
            <w:pPr>
              <w:spacing w:line="240" w:lineRule="auto"/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lang w:val="en-NZ"/>
              </w:rPr>
              <w:t>Size (Large/medium/small)</w:t>
            </w:r>
            <w:r w:rsidR="004C79DF" w:rsidRPr="000805F4">
              <w:rPr>
                <w:rFonts w:ascii="Arial" w:hAnsi="Arial" w:cs="Arial"/>
                <w:lang w:val="en-NZ"/>
              </w:rPr>
              <w:t xml:space="preserve"> – </w:t>
            </w:r>
            <w:r w:rsidR="004C79DF" w:rsidRPr="000805F4">
              <w:rPr>
                <w:rFonts w:ascii="Arial" w:hAnsi="Arial" w:cs="Arial"/>
                <w:i/>
                <w:lang w:val="en-NZ"/>
              </w:rPr>
              <w:t>small (230 students)</w:t>
            </w:r>
          </w:p>
          <w:p w:rsidR="00AE4650" w:rsidRPr="000805F4" w:rsidRDefault="00AE4650" w:rsidP="00126F5D">
            <w:pPr>
              <w:spacing w:line="240" w:lineRule="auto"/>
              <w:rPr>
                <w:rFonts w:ascii="Arial" w:hAnsi="Arial" w:cs="Arial"/>
                <w:lang w:val="en-NZ"/>
              </w:rPr>
            </w:pPr>
            <w:r w:rsidRPr="000805F4">
              <w:rPr>
                <w:rFonts w:ascii="Arial" w:hAnsi="Arial" w:cs="Arial"/>
                <w:lang w:val="en-NZ"/>
              </w:rPr>
              <w:t>Demographics</w:t>
            </w:r>
            <w:r w:rsidR="004C79DF" w:rsidRPr="000805F4">
              <w:rPr>
                <w:rFonts w:ascii="Arial" w:hAnsi="Arial" w:cs="Arial"/>
                <w:lang w:val="en-NZ"/>
              </w:rPr>
              <w:t xml:space="preserve"> – </w:t>
            </w:r>
            <w:r w:rsidR="00C27EEE" w:rsidRPr="000805F4">
              <w:rPr>
                <w:rFonts w:ascii="Arial" w:hAnsi="Arial" w:cs="Arial"/>
                <w:i/>
                <w:lang w:val="en-NZ"/>
              </w:rPr>
              <w:t>Decile 3: 33</w:t>
            </w:r>
            <w:r w:rsidR="004C79DF" w:rsidRPr="000805F4">
              <w:rPr>
                <w:rFonts w:ascii="Arial" w:hAnsi="Arial" w:cs="Arial"/>
                <w:i/>
                <w:lang w:val="en-NZ"/>
              </w:rPr>
              <w:t xml:space="preserve">% Maori, </w:t>
            </w:r>
            <w:r w:rsidR="00C27EEE" w:rsidRPr="000805F4">
              <w:rPr>
                <w:rFonts w:ascii="Arial" w:hAnsi="Arial" w:cs="Arial"/>
                <w:i/>
                <w:lang w:val="en-NZ"/>
              </w:rPr>
              <w:t xml:space="preserve">8% </w:t>
            </w:r>
            <w:r w:rsidR="004C79DF" w:rsidRPr="000805F4">
              <w:rPr>
                <w:rFonts w:ascii="Arial" w:hAnsi="Arial" w:cs="Arial"/>
                <w:i/>
                <w:lang w:val="en-NZ"/>
              </w:rPr>
              <w:t>Pasifika,</w:t>
            </w:r>
            <w:r w:rsidR="00C27EEE" w:rsidRPr="000805F4">
              <w:rPr>
                <w:rFonts w:ascii="Arial" w:hAnsi="Arial" w:cs="Arial"/>
                <w:i/>
                <w:lang w:val="en-NZ"/>
              </w:rPr>
              <w:t xml:space="preserve"> 31%</w:t>
            </w:r>
            <w:r w:rsidR="004C79DF" w:rsidRPr="000805F4">
              <w:rPr>
                <w:rFonts w:ascii="Arial" w:hAnsi="Arial" w:cs="Arial"/>
                <w:i/>
                <w:lang w:val="en-NZ"/>
              </w:rPr>
              <w:t xml:space="preserve"> NZ/European</w:t>
            </w:r>
            <w:r w:rsidR="00C27EEE" w:rsidRPr="000805F4">
              <w:rPr>
                <w:rFonts w:ascii="Arial" w:hAnsi="Arial" w:cs="Arial"/>
                <w:i/>
                <w:lang w:val="en-NZ"/>
              </w:rPr>
              <w:t>, 27% Other</w:t>
            </w:r>
          </w:p>
        </w:tc>
      </w:tr>
      <w:tr w:rsidR="00AE4650" w:rsidRPr="002B345C">
        <w:tc>
          <w:tcPr>
            <w:tcW w:w="3085" w:type="dxa"/>
          </w:tcPr>
          <w:p w:rsidR="00AE4650" w:rsidRPr="002B345C" w:rsidRDefault="00AE4650" w:rsidP="002618D6">
            <w:pPr>
              <w:rPr>
                <w:rFonts w:ascii="Arial" w:hAnsi="Arial" w:cs="Arial"/>
                <w:lang w:val="en-NZ"/>
              </w:rPr>
            </w:pPr>
            <w:r w:rsidRPr="002B345C">
              <w:rPr>
                <w:rFonts w:ascii="Arial" w:hAnsi="Arial" w:cs="Arial"/>
                <w:lang w:val="en-NZ"/>
              </w:rPr>
              <w:t>Class Descriptor</w:t>
            </w:r>
          </w:p>
        </w:tc>
        <w:tc>
          <w:tcPr>
            <w:tcW w:w="11531" w:type="dxa"/>
          </w:tcPr>
          <w:p w:rsidR="00AE4650" w:rsidRPr="000805F4" w:rsidRDefault="00AE4650" w:rsidP="00126F5D">
            <w:pPr>
              <w:spacing w:line="240" w:lineRule="auto"/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lang w:val="en-NZ"/>
              </w:rPr>
              <w:t>Subject</w:t>
            </w:r>
            <w:r w:rsidR="0036100A" w:rsidRPr="000805F4">
              <w:rPr>
                <w:rFonts w:ascii="Arial" w:hAnsi="Arial" w:cs="Arial"/>
                <w:lang w:val="en-NZ"/>
              </w:rPr>
              <w:t xml:space="preserve"> – </w:t>
            </w:r>
            <w:r w:rsidR="004C79DF" w:rsidRPr="000805F4">
              <w:rPr>
                <w:rFonts w:ascii="Arial" w:hAnsi="Arial" w:cs="Arial"/>
                <w:i/>
                <w:lang w:val="en-NZ"/>
              </w:rPr>
              <w:t>Mathematics</w:t>
            </w:r>
          </w:p>
          <w:p w:rsidR="00AE4650" w:rsidRPr="000805F4" w:rsidRDefault="00AE4650" w:rsidP="00126F5D">
            <w:pPr>
              <w:spacing w:line="240" w:lineRule="auto"/>
              <w:rPr>
                <w:rFonts w:ascii="Arial" w:hAnsi="Arial" w:cs="Arial"/>
                <w:lang w:val="en-NZ"/>
              </w:rPr>
            </w:pPr>
            <w:r w:rsidRPr="000805F4">
              <w:rPr>
                <w:rFonts w:ascii="Arial" w:hAnsi="Arial" w:cs="Arial"/>
                <w:lang w:val="en-NZ"/>
              </w:rPr>
              <w:t>Year level</w:t>
            </w:r>
            <w:r w:rsidR="004C79DF" w:rsidRPr="000805F4">
              <w:rPr>
                <w:rFonts w:ascii="Arial" w:hAnsi="Arial" w:cs="Arial"/>
                <w:lang w:val="en-NZ"/>
              </w:rPr>
              <w:t xml:space="preserve"> –</w:t>
            </w:r>
            <w:r w:rsidR="0088228A" w:rsidRPr="000805F4">
              <w:rPr>
                <w:rFonts w:ascii="Arial" w:hAnsi="Arial" w:cs="Arial"/>
                <w:lang w:val="en-NZ"/>
              </w:rPr>
              <w:t xml:space="preserve">11 - </w:t>
            </w:r>
            <w:r w:rsidR="004C79DF" w:rsidRPr="000805F4">
              <w:rPr>
                <w:rFonts w:ascii="Arial" w:hAnsi="Arial" w:cs="Arial"/>
                <w:lang w:val="en-NZ"/>
              </w:rPr>
              <w:t xml:space="preserve"> </w:t>
            </w:r>
            <w:r w:rsidR="0088228A" w:rsidRPr="000805F4">
              <w:rPr>
                <w:rFonts w:ascii="Arial" w:hAnsi="Arial" w:cs="Arial"/>
                <w:lang w:val="en-NZ"/>
              </w:rPr>
              <w:t xml:space="preserve">Mathematics curriculum level 6 and assessment outcomes for </w:t>
            </w:r>
            <w:r w:rsidR="004C79DF" w:rsidRPr="000805F4">
              <w:rPr>
                <w:rFonts w:ascii="Arial" w:hAnsi="Arial" w:cs="Arial"/>
                <w:lang w:val="en-NZ"/>
              </w:rPr>
              <w:t>NCEA Level 1</w:t>
            </w:r>
          </w:p>
        </w:tc>
      </w:tr>
      <w:tr w:rsidR="00AE4650" w:rsidRPr="002B345C">
        <w:tc>
          <w:tcPr>
            <w:tcW w:w="3085" w:type="dxa"/>
          </w:tcPr>
          <w:p w:rsidR="003C74C6" w:rsidRPr="002B345C" w:rsidRDefault="003C74C6" w:rsidP="002618D6">
            <w:pPr>
              <w:rPr>
                <w:rFonts w:ascii="Arial" w:hAnsi="Arial" w:cs="Arial"/>
                <w:noProof/>
              </w:rPr>
            </w:pPr>
          </w:p>
          <w:p w:rsidR="00AE4650" w:rsidRPr="002B345C" w:rsidRDefault="00A841C9" w:rsidP="002618D6">
            <w:pPr>
              <w:rPr>
                <w:rFonts w:ascii="Arial" w:hAnsi="Arial" w:cs="Arial"/>
                <w:lang w:val="en-NZ"/>
              </w:rPr>
            </w:pPr>
            <w:r w:rsidRPr="002B345C">
              <w:rPr>
                <w:rFonts w:ascii="Arial" w:hAnsi="Arial" w:cs="Arial"/>
                <w:noProof/>
                <w:lang w:val="en-NZ" w:eastAsia="en-NZ"/>
              </w:rPr>
              <w:drawing>
                <wp:inline distT="0" distB="0" distL="0" distR="0">
                  <wp:extent cx="1847362" cy="1162050"/>
                  <wp:effectExtent l="19050" t="0" r="488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28125" t="54444" r="58958" b="34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362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650" w:rsidRPr="002B345C" w:rsidRDefault="00AE4650" w:rsidP="002618D6">
            <w:pPr>
              <w:rPr>
                <w:rFonts w:ascii="Arial" w:hAnsi="Arial" w:cs="Arial"/>
                <w:lang w:val="en-NZ"/>
              </w:rPr>
            </w:pPr>
          </w:p>
        </w:tc>
        <w:tc>
          <w:tcPr>
            <w:tcW w:w="11531" w:type="dxa"/>
          </w:tcPr>
          <w:p w:rsidR="00AE4650" w:rsidRPr="000805F4" w:rsidRDefault="00AE4650" w:rsidP="002618D6">
            <w:pPr>
              <w:rPr>
                <w:rFonts w:ascii="Arial" w:hAnsi="Arial" w:cs="Arial"/>
                <w:b/>
                <w:lang w:val="en-NZ"/>
              </w:rPr>
            </w:pPr>
            <w:r w:rsidRPr="000805F4">
              <w:rPr>
                <w:rFonts w:ascii="Arial" w:hAnsi="Arial" w:cs="Arial"/>
                <w:b/>
                <w:lang w:val="en-NZ"/>
              </w:rPr>
              <w:t>Overview /context / focus group of learners</w:t>
            </w:r>
          </w:p>
          <w:p w:rsidR="004C79DF" w:rsidRPr="000805F4" w:rsidRDefault="004C79DF" w:rsidP="002618D6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 xml:space="preserve">The group of learners have high mathematical ability </w:t>
            </w:r>
            <w:r w:rsidR="003E44CC" w:rsidRPr="000805F4">
              <w:rPr>
                <w:rFonts w:ascii="Arial" w:hAnsi="Arial" w:cs="Arial"/>
                <w:i/>
                <w:lang w:val="en-NZ"/>
              </w:rPr>
              <w:t>(average of Stage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3E02A1" w:rsidRPr="000805F4">
              <w:rPr>
                <w:rFonts w:ascii="Arial" w:hAnsi="Arial" w:cs="Arial"/>
                <w:i/>
                <w:lang w:val="en-NZ"/>
              </w:rPr>
              <w:t xml:space="preserve">7/8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of the </w:t>
            </w:r>
            <w:r w:rsidR="003E44CC" w:rsidRPr="000805F4">
              <w:rPr>
                <w:rFonts w:ascii="Arial" w:hAnsi="Arial" w:cs="Arial"/>
                <w:i/>
                <w:lang w:val="en-NZ"/>
              </w:rPr>
              <w:t>Secondary Numeracy Project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3E02A1" w:rsidRPr="000805F4">
              <w:rPr>
                <w:rFonts w:ascii="Arial" w:hAnsi="Arial" w:cs="Arial"/>
                <w:i/>
                <w:lang w:val="en-NZ"/>
              </w:rPr>
              <w:t xml:space="preserve">and 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strong </w:t>
            </w:r>
            <w:r w:rsidRPr="000805F4">
              <w:rPr>
                <w:rFonts w:ascii="Arial" w:hAnsi="Arial" w:cs="Arial"/>
                <w:i/>
                <w:lang w:val="en-NZ"/>
              </w:rPr>
              <w:t>literacy levels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 (averag</w:t>
            </w:r>
            <w:r w:rsidR="002F6329" w:rsidRPr="000805F4">
              <w:rPr>
                <w:rFonts w:ascii="Arial" w:hAnsi="Arial" w:cs="Arial"/>
                <w:i/>
                <w:lang w:val="en-NZ"/>
              </w:rPr>
              <w:t>e e-asTTle curriculum sub-level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 4P, min</w:t>
            </w:r>
            <w:r w:rsidR="003E02A1" w:rsidRPr="000805F4">
              <w:rPr>
                <w:rFonts w:ascii="Arial" w:hAnsi="Arial" w:cs="Arial"/>
                <w:i/>
                <w:lang w:val="en-NZ"/>
              </w:rPr>
              <w:t xml:space="preserve"> 3P 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>to max l</w:t>
            </w:r>
            <w:r w:rsidR="008957C0" w:rsidRPr="000805F4">
              <w:rPr>
                <w:rFonts w:ascii="Arial" w:hAnsi="Arial" w:cs="Arial"/>
                <w:i/>
                <w:lang w:val="en-NZ"/>
              </w:rPr>
              <w:t>evel 6B as Yr 10’s.</w:t>
            </w:r>
            <w:r w:rsidR="004B633B" w:rsidRPr="000805F4">
              <w:rPr>
                <w:rFonts w:ascii="Arial" w:hAnsi="Arial" w:cs="Arial"/>
                <w:i/>
                <w:lang w:val="en-NZ"/>
              </w:rPr>
              <w:t>)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>T</w:t>
            </w:r>
            <w:r w:rsidR="004976B1" w:rsidRPr="000805F4">
              <w:rPr>
                <w:rFonts w:ascii="Arial" w:hAnsi="Arial" w:cs="Arial"/>
                <w:i/>
                <w:lang w:val="en-NZ"/>
              </w:rPr>
              <w:t xml:space="preserve">hey 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possess </w:t>
            </w:r>
            <w:r w:rsidR="004976B1" w:rsidRPr="000805F4">
              <w:rPr>
                <w:rFonts w:ascii="Arial" w:hAnsi="Arial" w:cs="Arial"/>
                <w:i/>
                <w:lang w:val="en-NZ"/>
              </w:rPr>
              <w:t xml:space="preserve">the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academic </w:t>
            </w:r>
            <w:r w:rsidR="004976B1" w:rsidRPr="000805F4">
              <w:rPr>
                <w:rFonts w:ascii="Arial" w:hAnsi="Arial" w:cs="Arial"/>
                <w:i/>
                <w:lang w:val="en-NZ"/>
              </w:rPr>
              <w:t xml:space="preserve">potential to 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succeed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in NCEA level 1 with the appropriate scaffolded </w:t>
            </w:r>
            <w:r w:rsidR="004976B1" w:rsidRPr="000805F4">
              <w:rPr>
                <w:rFonts w:ascii="Arial" w:hAnsi="Arial" w:cs="Arial"/>
                <w:i/>
                <w:lang w:val="en-NZ"/>
              </w:rPr>
              <w:t>teaching approaches.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  The challenge for the year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 (2011)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was to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>best prepare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 xml:space="preserve"> students for the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mathematical literacy demands </w:t>
            </w:r>
            <w:r w:rsidR="00CE4744" w:rsidRPr="000805F4">
              <w:rPr>
                <w:rFonts w:ascii="Arial" w:hAnsi="Arial" w:cs="Arial"/>
                <w:i/>
                <w:lang w:val="en-NZ"/>
              </w:rPr>
              <w:t xml:space="preserve">of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the 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 xml:space="preserve">Mathematics Curriculum, Level 6.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>The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 xml:space="preserve"> curriculum expects teaching, learning and assessment activities to 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provide 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>rich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>er, more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 xml:space="preserve"> open tasks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, 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 xml:space="preserve">rather than 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the traditional 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>textbook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 style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 xml:space="preserve"> exercises that progressively get</w:t>
            </w:r>
            <w:r w:rsidR="00064A84" w:rsidRPr="000805F4">
              <w:rPr>
                <w:rFonts w:ascii="Arial" w:hAnsi="Arial" w:cs="Arial"/>
                <w:i/>
                <w:lang w:val="en-NZ"/>
              </w:rPr>
              <w:t xml:space="preserve"> more difficult. The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 xml:space="preserve"> students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have to 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>learn how to reason out their thinking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>, process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 xml:space="preserve"> the context of a problem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>, communicate with appropriate mathematical statements and relate their solutions to the context of the problem.</w:t>
            </w:r>
          </w:p>
          <w:p w:rsidR="00126F5D" w:rsidRPr="000805F4" w:rsidRDefault="00AE4650" w:rsidP="00126F5D">
            <w:pPr>
              <w:spacing w:line="240" w:lineRule="auto"/>
              <w:rPr>
                <w:rFonts w:ascii="Arial" w:hAnsi="Arial" w:cs="Arial"/>
                <w:b/>
                <w:lang w:val="en-NZ"/>
              </w:rPr>
            </w:pPr>
            <w:r w:rsidRPr="000805F4">
              <w:rPr>
                <w:rFonts w:ascii="Arial" w:hAnsi="Arial" w:cs="Arial"/>
                <w:b/>
                <w:lang w:val="en-NZ"/>
              </w:rPr>
              <w:t xml:space="preserve">Nature of the inquiry, based on evidence </w:t>
            </w:r>
          </w:p>
          <w:p w:rsidR="00126F5D" w:rsidRPr="000805F4" w:rsidRDefault="00064A84" w:rsidP="00126F5D">
            <w:pPr>
              <w:spacing w:line="240" w:lineRule="auto"/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The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 inquiry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centres on this key question:  </w:t>
            </w:r>
          </w:p>
          <w:p w:rsidR="00D407B9" w:rsidRPr="000805F4" w:rsidRDefault="00064A84" w:rsidP="00126F5D">
            <w:pPr>
              <w:spacing w:line="240" w:lineRule="auto"/>
              <w:rPr>
                <w:rFonts w:ascii="Arial" w:hAnsi="Arial" w:cs="Arial"/>
                <w:b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H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>ow can I support students to communicate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>,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in writing,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their 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mathematical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 xml:space="preserve">thinking 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 xml:space="preserve">as they solve a 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problem </w:t>
            </w:r>
            <w:r w:rsidR="00372051" w:rsidRPr="000805F4">
              <w:rPr>
                <w:rFonts w:ascii="Arial" w:hAnsi="Arial" w:cs="Arial"/>
                <w:i/>
                <w:lang w:val="en-NZ"/>
              </w:rPr>
              <w:t>whi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>ch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 xml:space="preserve"> yields to</w:t>
            </w:r>
            <w:r w:rsidR="00D407B9" w:rsidRPr="000805F4">
              <w:rPr>
                <w:rFonts w:ascii="Arial" w:hAnsi="Arial" w:cs="Arial"/>
                <w:i/>
                <w:lang w:val="en-NZ"/>
              </w:rPr>
              <w:t xml:space="preserve"> many different approaches, 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>and relate their solution and thinking to the context of the problem, in order to achieve at Merit and Excellence</w:t>
            </w:r>
            <w:r w:rsidR="00126F5D" w:rsidRPr="000805F4">
              <w:rPr>
                <w:rFonts w:ascii="Arial" w:hAnsi="Arial" w:cs="Arial"/>
                <w:i/>
                <w:lang w:val="en-NZ"/>
              </w:rPr>
              <w:t>?</w:t>
            </w:r>
          </w:p>
          <w:p w:rsidR="00A56CC8" w:rsidRPr="000805F4" w:rsidRDefault="00372051" w:rsidP="002618D6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The inquiry emphasise</w:t>
            </w:r>
            <w:r w:rsidR="00B31BFC" w:rsidRPr="000805F4">
              <w:rPr>
                <w:rFonts w:ascii="Arial" w:hAnsi="Arial" w:cs="Arial"/>
                <w:i/>
                <w:lang w:val="en-NZ"/>
              </w:rPr>
              <w:t>s</w:t>
            </w:r>
            <w:r w:rsidR="003E44CC" w:rsidRPr="000805F4">
              <w:rPr>
                <w:rFonts w:ascii="Arial" w:hAnsi="Arial" w:cs="Arial"/>
                <w:i/>
                <w:lang w:val="en-NZ"/>
              </w:rPr>
              <w:t xml:space="preserve"> that students need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 xml:space="preserve"> to select and use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relevant </w:t>
            </w:r>
            <w:r w:rsidR="00B31BFC" w:rsidRPr="000805F4">
              <w:rPr>
                <w:rFonts w:ascii="Arial" w:hAnsi="Arial" w:cs="Arial"/>
                <w:i/>
                <w:lang w:val="en-NZ"/>
              </w:rPr>
              <w:t>method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>s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 to solve the problem, because t</w:t>
            </w:r>
            <w:r w:rsidR="00B31BFC" w:rsidRPr="000805F4">
              <w:rPr>
                <w:rFonts w:ascii="Arial" w:hAnsi="Arial" w:cs="Arial"/>
                <w:i/>
                <w:lang w:val="en-NZ"/>
              </w:rPr>
              <w:t xml:space="preserve">he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set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tasks </w:t>
            </w:r>
            <w:r w:rsidR="00B31BFC" w:rsidRPr="000805F4">
              <w:rPr>
                <w:rFonts w:ascii="Arial" w:hAnsi="Arial" w:cs="Arial"/>
                <w:i/>
                <w:lang w:val="en-NZ"/>
              </w:rPr>
              <w:t>do not necessarily make one method obvious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.  Students therefore need to be exposed to rich open tasks in order to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practice this skill and to </w:t>
            </w:r>
            <w:r w:rsidRPr="000805F4">
              <w:rPr>
                <w:rFonts w:ascii="Arial" w:hAnsi="Arial" w:cs="Arial"/>
                <w:i/>
                <w:lang w:val="en-NZ"/>
              </w:rPr>
              <w:t>suc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>ceed in this type of assessment, an approach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 xml:space="preserve"> that is embedded in the curriculum and has been highlighted by </w:t>
            </w:r>
            <w:r w:rsidR="00B31BFC" w:rsidRPr="000805F4">
              <w:rPr>
                <w:rFonts w:ascii="Arial" w:hAnsi="Arial" w:cs="Arial"/>
                <w:i/>
                <w:lang w:val="en-NZ"/>
              </w:rPr>
              <w:t xml:space="preserve">the realignment process. 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The sample tasks for the realigned standards require students to be more discerning about how they will select and use mathematical methods and approaches.  </w:t>
            </w:r>
          </w:p>
          <w:p w:rsidR="00126F5D" w:rsidRPr="000805F4" w:rsidRDefault="00A56CC8" w:rsidP="002618D6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A second inquiry question emerged o</w:t>
            </w:r>
            <w:r w:rsidR="00064A84" w:rsidRPr="000805F4">
              <w:rPr>
                <w:rFonts w:ascii="Arial" w:hAnsi="Arial" w:cs="Arial"/>
                <w:i/>
                <w:lang w:val="en-NZ"/>
              </w:rPr>
              <w:t xml:space="preserve">ut of the 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>sample realignment tasks</w:t>
            </w:r>
            <w:r w:rsidR="00126F5D" w:rsidRPr="000805F4">
              <w:rPr>
                <w:rFonts w:ascii="Arial" w:hAnsi="Arial" w:cs="Arial"/>
                <w:i/>
                <w:lang w:val="en-NZ"/>
              </w:rPr>
              <w:t>:</w:t>
            </w:r>
          </w:p>
          <w:p w:rsidR="00A56CC8" w:rsidRPr="000805F4" w:rsidRDefault="00064A84" w:rsidP="002618D6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: H</w:t>
            </w:r>
            <w:r w:rsidR="00B31BFC" w:rsidRPr="000805F4">
              <w:rPr>
                <w:rFonts w:ascii="Arial" w:hAnsi="Arial" w:cs="Arial"/>
                <w:i/>
                <w:lang w:val="en-NZ"/>
              </w:rPr>
              <w:t xml:space="preserve">ow do I support students to move into problem solving that goes beyond the mechanical </w:t>
            </w:r>
            <w:r w:rsidR="003E02A1" w:rsidRPr="000805F4">
              <w:rPr>
                <w:rFonts w:ascii="Arial" w:hAnsi="Arial" w:cs="Arial"/>
                <w:i/>
                <w:lang w:val="en-NZ"/>
              </w:rPr>
              <w:t>“</w:t>
            </w:r>
            <w:r w:rsidR="00B31BFC" w:rsidRPr="000805F4">
              <w:rPr>
                <w:rFonts w:ascii="Arial" w:hAnsi="Arial" w:cs="Arial"/>
                <w:i/>
                <w:lang w:val="en-NZ"/>
              </w:rPr>
              <w:t xml:space="preserve">answer the </w:t>
            </w:r>
            <w:r w:rsidR="00B31BFC" w:rsidRPr="000805F4">
              <w:rPr>
                <w:rFonts w:ascii="Arial" w:hAnsi="Arial" w:cs="Arial"/>
                <w:i/>
                <w:lang w:val="en-NZ"/>
              </w:rPr>
              <w:lastRenderedPageBreak/>
              <w:t>question</w:t>
            </w:r>
            <w:r w:rsidR="003E02A1" w:rsidRPr="000805F4">
              <w:rPr>
                <w:rFonts w:ascii="Arial" w:hAnsi="Arial" w:cs="Arial"/>
                <w:i/>
                <w:lang w:val="en-NZ"/>
              </w:rPr>
              <w:t>”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 methodology, which has characterised traditional mathematics teaching and assessment for many decades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>?</w:t>
            </w:r>
          </w:p>
          <w:p w:rsidR="00617F19" w:rsidRPr="000805F4" w:rsidRDefault="005E5581" w:rsidP="00A56CC8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 xml:space="preserve">Literacy levels play a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pivotal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part in the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deeper </w:t>
            </w:r>
            <w:r w:rsidRPr="000805F4">
              <w:rPr>
                <w:rFonts w:ascii="Arial" w:hAnsi="Arial" w:cs="Arial"/>
                <w:i/>
                <w:lang w:val="en-NZ"/>
              </w:rPr>
              <w:t>cognitive process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>es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identified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here.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Firstly,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students must </w:t>
            </w:r>
            <w:r w:rsidR="004976B1" w:rsidRPr="000805F4">
              <w:rPr>
                <w:rFonts w:ascii="Arial" w:hAnsi="Arial" w:cs="Arial"/>
                <w:i/>
                <w:lang w:val="en-NZ"/>
              </w:rPr>
              <w:t xml:space="preserve">make connections between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different </w:t>
            </w:r>
            <w:r w:rsidR="004976B1" w:rsidRPr="000805F4">
              <w:rPr>
                <w:rFonts w:ascii="Arial" w:hAnsi="Arial" w:cs="Arial"/>
                <w:i/>
                <w:lang w:val="en-NZ"/>
              </w:rPr>
              <w:t>aspects of text in mathematics, to draw out the key information, to process this into a mathematical expression/operation, and to solve the problem in context.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 xml:space="preserve"> 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Secondly, it is crucial that students be able 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>to communicate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 in writing,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 xml:space="preserve"> the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required problem-solving 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>steps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>,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 xml:space="preserve"> and to </w:t>
            </w:r>
            <w:r w:rsidR="00A56CC8" w:rsidRPr="000805F4">
              <w:rPr>
                <w:rFonts w:ascii="Arial" w:hAnsi="Arial" w:cs="Arial"/>
                <w:i/>
                <w:lang w:val="en-NZ"/>
              </w:rPr>
              <w:t xml:space="preserve">show how they </w:t>
            </w:r>
            <w:r w:rsidR="002618D6" w:rsidRPr="000805F4">
              <w:rPr>
                <w:rFonts w:ascii="Arial" w:hAnsi="Arial" w:cs="Arial"/>
                <w:i/>
                <w:lang w:val="en-NZ"/>
              </w:rPr>
              <w:t>reason out a method and relate their solutions to the context of the problem.</w:t>
            </w:r>
          </w:p>
          <w:p w:rsidR="00126F5D" w:rsidRPr="000805F4" w:rsidRDefault="00617F19" w:rsidP="00F175E0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Such literacy skills are pivotal because a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 xml:space="preserve"> student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 may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 xml:space="preserve"> know how to calculate a fraction or a percentage</w:t>
            </w:r>
            <w:r w:rsidRPr="000805F4">
              <w:rPr>
                <w:rFonts w:ascii="Arial" w:hAnsi="Arial" w:cs="Arial"/>
                <w:i/>
                <w:lang w:val="en-NZ"/>
              </w:rPr>
              <w:t>,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 xml:space="preserve"> or even more complex mathematical calculations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, 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 xml:space="preserve"> but if they cannot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infer 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 xml:space="preserve">from a task that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such calculations 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 xml:space="preserve">would be appropriate then they </w:t>
            </w:r>
            <w:r w:rsidRPr="000805F4">
              <w:rPr>
                <w:rFonts w:ascii="Arial" w:hAnsi="Arial" w:cs="Arial"/>
                <w:i/>
                <w:lang w:val="en-NZ"/>
              </w:rPr>
              <w:t>are unable to respond to the demands of the task.  In effect, they stumble at the first hurdle.</w:t>
            </w:r>
            <w:r w:rsidR="006C32C9" w:rsidRPr="000805F4">
              <w:rPr>
                <w:rFonts w:ascii="Arial" w:hAnsi="Arial" w:cs="Arial"/>
                <w:i/>
                <w:lang w:val="en-NZ"/>
              </w:rPr>
              <w:t xml:space="preserve">The important questions students </w:t>
            </w:r>
            <w:r w:rsidR="00064A84" w:rsidRPr="000805F4">
              <w:rPr>
                <w:rFonts w:ascii="Arial" w:hAnsi="Arial" w:cs="Arial"/>
                <w:i/>
                <w:lang w:val="en-NZ"/>
              </w:rPr>
              <w:t>must address are: H</w:t>
            </w:r>
            <w:r w:rsidRPr="000805F4">
              <w:rPr>
                <w:rFonts w:ascii="Arial" w:hAnsi="Arial" w:cs="Arial"/>
                <w:i/>
                <w:lang w:val="en-NZ"/>
              </w:rPr>
              <w:t>ow</w:t>
            </w:r>
            <w:r w:rsidR="006C32C9" w:rsidRPr="000805F4">
              <w:rPr>
                <w:rFonts w:ascii="Arial" w:hAnsi="Arial" w:cs="Arial"/>
                <w:i/>
                <w:lang w:val="en-NZ"/>
              </w:rPr>
              <w:t xml:space="preserve"> does the task require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me to respond, and secondly, </w:t>
            </w:r>
            <w:r w:rsidR="006C32C9" w:rsidRPr="000805F4">
              <w:rPr>
                <w:rFonts w:ascii="Arial" w:hAnsi="Arial" w:cs="Arial"/>
                <w:i/>
                <w:lang w:val="en-NZ"/>
              </w:rPr>
              <w:t xml:space="preserve">to what extent does my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critical </w:t>
            </w:r>
            <w:r w:rsidR="006C32C9" w:rsidRPr="000805F4">
              <w:rPr>
                <w:rFonts w:ascii="Arial" w:hAnsi="Arial" w:cs="Arial"/>
                <w:i/>
                <w:lang w:val="en-NZ"/>
              </w:rPr>
              <w:t xml:space="preserve">comprehension of the task impact on my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level of </w:t>
            </w:r>
            <w:r w:rsidR="006C32C9" w:rsidRPr="000805F4">
              <w:rPr>
                <w:rFonts w:ascii="Arial" w:hAnsi="Arial" w:cs="Arial"/>
                <w:i/>
                <w:lang w:val="en-NZ"/>
              </w:rPr>
              <w:t>achievement?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 xml:space="preserve">  </w:t>
            </w:r>
          </w:p>
          <w:p w:rsidR="00126F5D" w:rsidRPr="000805F4" w:rsidRDefault="002618D6" w:rsidP="00F175E0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The mathematics curriculum places thinking at the centre of teaching and learning</w:t>
            </w:r>
            <w:r w:rsidR="00126F5D" w:rsidRPr="000805F4">
              <w:rPr>
                <w:rFonts w:ascii="Arial" w:hAnsi="Arial" w:cs="Arial"/>
                <w:i/>
                <w:lang w:val="en-NZ"/>
              </w:rPr>
              <w:t>.  The tasks for the real</w:t>
            </w:r>
            <w:r w:rsidRPr="000805F4">
              <w:rPr>
                <w:rFonts w:ascii="Arial" w:hAnsi="Arial" w:cs="Arial"/>
                <w:i/>
                <w:lang w:val="en-NZ"/>
              </w:rPr>
              <w:t>igned</w:t>
            </w:r>
            <w:r w:rsidR="00617F19" w:rsidRPr="000805F4">
              <w:rPr>
                <w:rFonts w:ascii="Arial" w:hAnsi="Arial" w:cs="Arial"/>
                <w:i/>
                <w:lang w:val="en-NZ"/>
              </w:rPr>
              <w:t xml:space="preserve"> standards</w:t>
            </w:r>
            <w:r w:rsidR="005B11AC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126F5D" w:rsidRPr="000805F4">
              <w:rPr>
                <w:rFonts w:ascii="Arial" w:hAnsi="Arial" w:cs="Arial"/>
                <w:i/>
                <w:lang w:val="en-NZ"/>
              </w:rPr>
              <w:t>provide opportunities for studen</w:t>
            </w:r>
            <w:r w:rsidR="005B11AC" w:rsidRPr="000805F4">
              <w:rPr>
                <w:rFonts w:ascii="Arial" w:hAnsi="Arial" w:cs="Arial"/>
                <w:i/>
                <w:lang w:val="en-NZ"/>
              </w:rPr>
              <w:t>ts to demonstrate high levels of thinking because they</w:t>
            </w:r>
            <w:r w:rsidR="00617F19" w:rsidRPr="000805F4">
              <w:rPr>
                <w:rFonts w:ascii="Arial" w:hAnsi="Arial" w:cs="Arial"/>
                <w:i/>
                <w:lang w:val="en-NZ"/>
              </w:rPr>
              <w:t xml:space="preserve"> require students to</w:t>
            </w:r>
            <w:r w:rsidR="00126F5D" w:rsidRPr="000805F4">
              <w:rPr>
                <w:rFonts w:ascii="Arial" w:hAnsi="Arial" w:cs="Arial"/>
                <w:i/>
                <w:lang w:val="en-NZ"/>
              </w:rPr>
              <w:t>:</w:t>
            </w:r>
            <w:r w:rsidR="00F175E0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617F19" w:rsidRPr="000805F4">
              <w:rPr>
                <w:rFonts w:ascii="Arial" w:hAnsi="Arial" w:cs="Arial"/>
                <w:i/>
                <w:lang w:val="en-NZ"/>
              </w:rPr>
              <w:t>make connections within text, infer for deeper meaning, reason deductively, choose and apply relevant information, and accurately write mathema</w:t>
            </w:r>
            <w:r w:rsidR="00064A84" w:rsidRPr="000805F4">
              <w:rPr>
                <w:rFonts w:ascii="Arial" w:hAnsi="Arial" w:cs="Arial"/>
                <w:i/>
                <w:lang w:val="en-NZ"/>
              </w:rPr>
              <w:t xml:space="preserve">tical reasoning.  </w:t>
            </w:r>
          </w:p>
          <w:p w:rsidR="00FC637E" w:rsidRPr="000805F4" w:rsidRDefault="00064A84" w:rsidP="00126F5D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These are</w:t>
            </w:r>
            <w:r w:rsidR="00617F19" w:rsidRPr="000805F4">
              <w:rPr>
                <w:rFonts w:ascii="Arial" w:hAnsi="Arial" w:cs="Arial"/>
                <w:i/>
                <w:lang w:val="en-NZ"/>
              </w:rPr>
              <w:t xml:space="preserve"> important academic literacy skills that mathematics teachers must </w:t>
            </w:r>
            <w:r w:rsidR="00A84235" w:rsidRPr="000805F4">
              <w:rPr>
                <w:rFonts w:ascii="Arial" w:hAnsi="Arial" w:cs="Arial"/>
                <w:i/>
                <w:lang w:val="en-NZ"/>
              </w:rPr>
              <w:t>strategically teach their students.</w:t>
            </w:r>
          </w:p>
        </w:tc>
      </w:tr>
      <w:tr w:rsidR="00AE4650" w:rsidRPr="002B345C">
        <w:tc>
          <w:tcPr>
            <w:tcW w:w="3085" w:type="dxa"/>
          </w:tcPr>
          <w:p w:rsidR="003C74C6" w:rsidRPr="002B345C" w:rsidRDefault="003C74C6" w:rsidP="002618D6">
            <w:pPr>
              <w:rPr>
                <w:rFonts w:ascii="Arial" w:hAnsi="Arial" w:cs="Arial"/>
                <w:noProof/>
              </w:rPr>
            </w:pPr>
          </w:p>
          <w:p w:rsidR="00AE4650" w:rsidRPr="002B345C" w:rsidRDefault="00A841C9" w:rsidP="002618D6">
            <w:pPr>
              <w:rPr>
                <w:rFonts w:ascii="Arial" w:hAnsi="Arial" w:cs="Arial"/>
                <w:lang w:val="en-NZ"/>
              </w:rPr>
            </w:pPr>
            <w:r w:rsidRPr="002B345C">
              <w:rPr>
                <w:rFonts w:ascii="Arial" w:hAnsi="Arial" w:cs="Arial"/>
                <w:noProof/>
                <w:lang w:val="en-NZ" w:eastAsia="en-NZ"/>
              </w:rPr>
              <w:drawing>
                <wp:inline distT="0" distB="0" distL="0" distR="0">
                  <wp:extent cx="1962150" cy="995090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32188" t="41250" r="53229" b="488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9950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650" w:rsidRPr="002B345C" w:rsidRDefault="00AE4650" w:rsidP="002618D6">
            <w:pPr>
              <w:rPr>
                <w:rFonts w:ascii="Arial" w:hAnsi="Arial" w:cs="Arial"/>
                <w:lang w:val="en-NZ"/>
              </w:rPr>
            </w:pPr>
          </w:p>
          <w:p w:rsidR="00AE4650" w:rsidRPr="002B345C" w:rsidRDefault="00AE4650" w:rsidP="002618D6">
            <w:pPr>
              <w:rPr>
                <w:rFonts w:ascii="Arial" w:hAnsi="Arial" w:cs="Arial"/>
                <w:lang w:val="en-NZ"/>
              </w:rPr>
            </w:pPr>
          </w:p>
        </w:tc>
        <w:tc>
          <w:tcPr>
            <w:tcW w:w="11531" w:type="dxa"/>
          </w:tcPr>
          <w:p w:rsidR="00AE4650" w:rsidRPr="000805F4" w:rsidRDefault="00AE4650" w:rsidP="002618D6">
            <w:pPr>
              <w:rPr>
                <w:rFonts w:ascii="Arial" w:hAnsi="Arial" w:cs="Arial"/>
                <w:b/>
                <w:lang w:val="en-NZ"/>
              </w:rPr>
            </w:pPr>
            <w:r w:rsidRPr="000805F4">
              <w:rPr>
                <w:rFonts w:ascii="Arial" w:hAnsi="Arial" w:cs="Arial"/>
                <w:b/>
                <w:lang w:val="en-NZ"/>
              </w:rPr>
              <w:t>Planning undertaken by teacher(s)</w:t>
            </w:r>
          </w:p>
          <w:p w:rsidR="004976B1" w:rsidRPr="000805F4" w:rsidRDefault="00175343" w:rsidP="002618D6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The teacher</w:t>
            </w:r>
            <w:r w:rsidR="00CB066B" w:rsidRPr="000805F4">
              <w:rPr>
                <w:rFonts w:ascii="Arial" w:hAnsi="Arial" w:cs="Arial"/>
                <w:i/>
                <w:lang w:val="en-NZ"/>
              </w:rPr>
              <w:t xml:space="preserve"> a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>nalysed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 xml:space="preserve"> the sample tasks for the realigned standards and the exemplars to fully understand the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3E02A1" w:rsidRPr="000805F4">
              <w:rPr>
                <w:rFonts w:ascii="Arial" w:hAnsi="Arial" w:cs="Arial"/>
                <w:i/>
                <w:lang w:val="en-NZ"/>
              </w:rPr>
              <w:t>holistic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 xml:space="preserve"> cognitive demands within the progressions of A</w:t>
            </w:r>
            <w:r w:rsidR="00413FED" w:rsidRPr="000805F4">
              <w:rPr>
                <w:rFonts w:ascii="Arial" w:hAnsi="Arial" w:cs="Arial"/>
                <w:i/>
                <w:lang w:val="en-NZ"/>
              </w:rPr>
              <w:t>chieved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 xml:space="preserve"> through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 to 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>E</w:t>
            </w:r>
            <w:r w:rsidR="00CB066B" w:rsidRPr="000805F4">
              <w:rPr>
                <w:rFonts w:ascii="Arial" w:hAnsi="Arial" w:cs="Arial"/>
                <w:i/>
                <w:lang w:val="en-NZ"/>
              </w:rPr>
              <w:t>xcellence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>.</w:t>
            </w:r>
          </w:p>
          <w:p w:rsidR="00EC055A" w:rsidRPr="000805F4" w:rsidRDefault="00175343" w:rsidP="002618D6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She</w:t>
            </w:r>
            <w:r w:rsidR="00CB066B" w:rsidRPr="000805F4">
              <w:rPr>
                <w:rFonts w:ascii="Arial" w:hAnsi="Arial" w:cs="Arial"/>
                <w:i/>
                <w:lang w:val="en-NZ"/>
              </w:rPr>
              <w:t xml:space="preserve"> ascertained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 xml:space="preserve"> the extent to which students</w:t>
            </w:r>
            <w:r w:rsidR="00413FED" w:rsidRPr="000805F4">
              <w:rPr>
                <w:rFonts w:ascii="Arial" w:hAnsi="Arial" w:cs="Arial"/>
                <w:i/>
                <w:lang w:val="en-NZ"/>
              </w:rPr>
              <w:t>’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CB066B" w:rsidRPr="000805F4">
              <w:rPr>
                <w:rFonts w:ascii="Arial" w:hAnsi="Arial" w:cs="Arial"/>
                <w:i/>
                <w:lang w:val="en-NZ"/>
              </w:rPr>
              <w:t xml:space="preserve">prior knowledge and experience would prepare them for their mathematics work. 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</w:p>
          <w:p w:rsidR="0036100A" w:rsidRPr="000805F4" w:rsidRDefault="00175343" w:rsidP="002618D6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She then</w:t>
            </w:r>
            <w:r w:rsidR="00CB066B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>analysed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 xml:space="preserve"> what literacy skills and strategies students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would 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>need to learn in order to successfully meet the standards set out at A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>chieved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 through to 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>E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>xcellence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 xml:space="preserve">.  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>The analysis identified</w:t>
            </w:r>
            <w:r w:rsidR="00EC055A" w:rsidRPr="000805F4">
              <w:rPr>
                <w:rFonts w:ascii="Arial" w:hAnsi="Arial" w:cs="Arial"/>
                <w:i/>
                <w:lang w:val="en-NZ"/>
              </w:rPr>
              <w:t xml:space="preserve"> making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 xml:space="preserve"> connections within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 xml:space="preserve"> a text, 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>transfer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>ring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 xml:space="preserve"> knowledge from one con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>text to another, and reasoning and discussing</w:t>
            </w:r>
            <w:r w:rsidR="0036100A" w:rsidRPr="000805F4">
              <w:rPr>
                <w:rFonts w:ascii="Arial" w:hAnsi="Arial" w:cs="Arial"/>
                <w:i/>
                <w:lang w:val="en-NZ"/>
              </w:rPr>
              <w:t xml:space="preserve"> in order to communicate th</w:t>
            </w:r>
            <w:r w:rsidR="00F175E0" w:rsidRPr="000805F4">
              <w:rPr>
                <w:rFonts w:ascii="Arial" w:hAnsi="Arial" w:cs="Arial"/>
                <w:i/>
                <w:lang w:val="en-NZ"/>
              </w:rPr>
              <w:t xml:space="preserve">eir thinking around a problem. 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 xml:space="preserve">Then </w:t>
            </w:r>
            <w:r w:rsidRPr="000805F4">
              <w:rPr>
                <w:rFonts w:ascii="Arial" w:hAnsi="Arial" w:cs="Arial"/>
                <w:i/>
                <w:lang w:val="en-NZ"/>
              </w:rPr>
              <w:t>she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sought relevant instructional 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>literacy approaches that helped scaffold the application of these required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 skills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>.</w:t>
            </w:r>
            <w:r w:rsidR="00F175E0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</w:p>
          <w:p w:rsidR="00AE4650" w:rsidRPr="000805F4" w:rsidRDefault="00AE4650" w:rsidP="002618D6">
            <w:pPr>
              <w:rPr>
                <w:rFonts w:ascii="Arial" w:hAnsi="Arial" w:cs="Arial"/>
                <w:b/>
                <w:lang w:val="en-NZ"/>
              </w:rPr>
            </w:pPr>
            <w:r w:rsidRPr="000805F4">
              <w:rPr>
                <w:rFonts w:ascii="Arial" w:hAnsi="Arial" w:cs="Arial"/>
                <w:b/>
                <w:lang w:val="en-NZ"/>
              </w:rPr>
              <w:t>Informed by research /evidence</w:t>
            </w:r>
          </w:p>
          <w:p w:rsidR="008E766E" w:rsidRPr="000805F4" w:rsidRDefault="00175343" w:rsidP="002618D6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 xml:space="preserve">This 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work is informed by 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 xml:space="preserve">research and evidence 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emerging from 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 xml:space="preserve">SOLO and </w:t>
            </w:r>
            <w:r w:rsidR="00552D31" w:rsidRPr="000805F4">
              <w:rPr>
                <w:rFonts w:ascii="Arial" w:hAnsi="Arial" w:cs="Arial"/>
                <w:i/>
                <w:lang w:val="en-NZ"/>
              </w:rPr>
              <w:t>Bloom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>’</w:t>
            </w:r>
            <w:r w:rsidR="00552D31" w:rsidRPr="000805F4">
              <w:rPr>
                <w:rFonts w:ascii="Arial" w:hAnsi="Arial" w:cs="Arial"/>
                <w:i/>
                <w:lang w:val="en-NZ"/>
              </w:rPr>
              <w:t>s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 xml:space="preserve"> taxonomy 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literature that mapped the attributes of 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 xml:space="preserve">increasingly 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challenging 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>cognitive development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 within a mat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hematics learning context.  </w:t>
            </w:r>
            <w:r w:rsidRPr="000805F4">
              <w:rPr>
                <w:rFonts w:ascii="Arial" w:hAnsi="Arial" w:cs="Arial"/>
                <w:i/>
                <w:lang w:val="en-NZ"/>
              </w:rPr>
              <w:lastRenderedPageBreak/>
              <w:t>Thi</w:t>
            </w:r>
            <w:r w:rsidR="00413FED" w:rsidRPr="000805F4">
              <w:rPr>
                <w:rFonts w:ascii="Arial" w:hAnsi="Arial" w:cs="Arial"/>
                <w:i/>
                <w:lang w:val="en-NZ"/>
              </w:rPr>
              <w:t>s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 was a</w:t>
            </w:r>
            <w:r w:rsidR="000E3919" w:rsidRPr="000805F4">
              <w:rPr>
                <w:rFonts w:ascii="Arial" w:hAnsi="Arial" w:cs="Arial"/>
                <w:i/>
                <w:lang w:val="en-NZ"/>
              </w:rPr>
              <w:t xml:space="preserve"> taxonomic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 progression from </w:t>
            </w:r>
            <w:r w:rsidR="008E766E" w:rsidRPr="000805F4">
              <w:rPr>
                <w:rFonts w:ascii="Arial" w:hAnsi="Arial" w:cs="Arial"/>
                <w:i/>
                <w:lang w:val="en-NZ"/>
              </w:rPr>
              <w:t>Pre-structural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 to</w:t>
            </w:r>
            <w:r w:rsidR="008E766E" w:rsidRPr="000805F4">
              <w:rPr>
                <w:rFonts w:ascii="Arial" w:hAnsi="Arial" w:cs="Arial"/>
                <w:i/>
                <w:lang w:val="en-NZ"/>
              </w:rPr>
              <w:t xml:space="preserve"> Uni-structural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, </w:t>
            </w:r>
            <w:r w:rsidR="008E766E" w:rsidRPr="000805F4">
              <w:rPr>
                <w:rFonts w:ascii="Arial" w:hAnsi="Arial" w:cs="Arial"/>
                <w:i/>
                <w:lang w:val="en-NZ"/>
              </w:rPr>
              <w:t>Multi-structural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, Relational and finally </w:t>
            </w:r>
            <w:r w:rsidR="008E766E" w:rsidRPr="000805F4">
              <w:rPr>
                <w:rFonts w:ascii="Arial" w:hAnsi="Arial" w:cs="Arial"/>
                <w:i/>
                <w:lang w:val="en-NZ"/>
              </w:rPr>
              <w:t>Extended Abstract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 understandings of mathematical concepts and methods.</w:t>
            </w:r>
          </w:p>
          <w:p w:rsidR="00E22B9E" w:rsidRPr="000805F4" w:rsidRDefault="00175343" w:rsidP="002618D6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In particular, the teacher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 identified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that 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>within th</w:t>
            </w:r>
            <w:r w:rsidR="001E781C" w:rsidRPr="000805F4">
              <w:rPr>
                <w:rFonts w:ascii="Arial" w:hAnsi="Arial" w:cs="Arial"/>
                <w:i/>
                <w:lang w:val="en-NZ"/>
              </w:rPr>
              <w:t>e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 xml:space="preserve"> cognitive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 taxonomy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 xml:space="preserve"> process a multi-structural understanding of problem solving </w:t>
            </w:r>
            <w:r w:rsidR="00195D08" w:rsidRPr="000805F4">
              <w:rPr>
                <w:rFonts w:ascii="Arial" w:hAnsi="Arial" w:cs="Arial"/>
                <w:i/>
                <w:lang w:val="en-NZ"/>
              </w:rPr>
              <w:t xml:space="preserve">constitutes 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 xml:space="preserve">the threshold students must cross </w:t>
            </w:r>
            <w:r w:rsidR="000E3919" w:rsidRPr="000805F4">
              <w:rPr>
                <w:rFonts w:ascii="Arial" w:hAnsi="Arial" w:cs="Arial"/>
                <w:i/>
                <w:lang w:val="en-NZ"/>
              </w:rPr>
              <w:t xml:space="preserve">to attain an 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>Achieved</w:t>
            </w:r>
            <w:r w:rsidR="000E3919" w:rsidRPr="000805F4">
              <w:rPr>
                <w:rFonts w:ascii="Arial" w:hAnsi="Arial" w:cs="Arial"/>
                <w:i/>
                <w:lang w:val="en-NZ"/>
              </w:rPr>
              <w:t xml:space="preserve"> or better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>.</w:t>
            </w:r>
          </w:p>
          <w:p w:rsidR="00AE4650" w:rsidRPr="000805F4" w:rsidRDefault="00AE4650" w:rsidP="002618D6">
            <w:pPr>
              <w:rPr>
                <w:rFonts w:ascii="Arial" w:hAnsi="Arial" w:cs="Arial"/>
                <w:b/>
                <w:lang w:val="en-NZ"/>
              </w:rPr>
            </w:pPr>
            <w:r w:rsidRPr="000805F4">
              <w:rPr>
                <w:rFonts w:ascii="Arial" w:hAnsi="Arial" w:cs="Arial"/>
                <w:b/>
                <w:lang w:val="en-NZ"/>
              </w:rPr>
              <w:t xml:space="preserve">Approaches to Teaching and Learning undertaken </w:t>
            </w:r>
          </w:p>
          <w:p w:rsidR="00B12DAF" w:rsidRPr="000805F4" w:rsidRDefault="00175343" w:rsidP="002618D6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The teacher adopted</w:t>
            </w:r>
            <w:r w:rsidR="000E3919" w:rsidRPr="000805F4">
              <w:rPr>
                <w:rFonts w:ascii="Arial" w:hAnsi="Arial" w:cs="Arial"/>
                <w:i/>
                <w:lang w:val="en-NZ"/>
              </w:rPr>
              <w:t xml:space="preserve"> approaches that required considerable </w:t>
            </w:r>
            <w:r w:rsidR="00E22B9E" w:rsidRPr="000805F4">
              <w:rPr>
                <w:rFonts w:ascii="Arial" w:hAnsi="Arial" w:cs="Arial"/>
                <w:i/>
                <w:lang w:val="en-NZ"/>
              </w:rPr>
              <w:t>oral and w</w:t>
            </w:r>
            <w:r w:rsidR="00B12DAF" w:rsidRPr="000805F4">
              <w:rPr>
                <w:rFonts w:ascii="Arial" w:hAnsi="Arial" w:cs="Arial"/>
                <w:i/>
                <w:lang w:val="en-NZ"/>
              </w:rPr>
              <w:t>rit</w:t>
            </w:r>
            <w:r w:rsidRPr="000805F4">
              <w:rPr>
                <w:rFonts w:ascii="Arial" w:hAnsi="Arial" w:cs="Arial"/>
                <w:i/>
                <w:lang w:val="en-NZ"/>
              </w:rPr>
              <w:t>ten language development</w:t>
            </w:r>
            <w:r w:rsidR="000E3919" w:rsidRPr="000805F4">
              <w:rPr>
                <w:rFonts w:ascii="Arial" w:hAnsi="Arial" w:cs="Arial"/>
                <w:i/>
                <w:lang w:val="en-NZ"/>
              </w:rPr>
              <w:t xml:space="preserve">.  Adopting these approaches </w:t>
            </w:r>
            <w:r w:rsidRPr="000805F4">
              <w:rPr>
                <w:rFonts w:ascii="Arial" w:hAnsi="Arial" w:cs="Arial"/>
                <w:i/>
                <w:lang w:val="en-NZ"/>
              </w:rPr>
              <w:t>enabled her</w:t>
            </w:r>
            <w:r w:rsidR="00B12DAF" w:rsidRPr="000805F4">
              <w:rPr>
                <w:rFonts w:ascii="Arial" w:hAnsi="Arial" w:cs="Arial"/>
                <w:i/>
                <w:lang w:val="en-NZ"/>
              </w:rPr>
              <w:t xml:space="preserve"> to </w:t>
            </w:r>
            <w:r w:rsidR="000E3919" w:rsidRPr="000805F4">
              <w:rPr>
                <w:rFonts w:ascii="Arial" w:hAnsi="Arial" w:cs="Arial"/>
                <w:i/>
                <w:lang w:val="en-NZ"/>
              </w:rPr>
              <w:t xml:space="preserve">accelerate the learning of </w:t>
            </w:r>
            <w:r w:rsidR="00B12DAF" w:rsidRPr="000805F4">
              <w:rPr>
                <w:rFonts w:ascii="Arial" w:hAnsi="Arial" w:cs="Arial"/>
                <w:i/>
                <w:lang w:val="en-NZ"/>
              </w:rPr>
              <w:t>students who might otherwise have struggled to comprehend</w:t>
            </w:r>
            <w:r w:rsidR="000E3919" w:rsidRPr="000805F4">
              <w:rPr>
                <w:rFonts w:ascii="Arial" w:hAnsi="Arial" w:cs="Arial"/>
                <w:i/>
                <w:lang w:val="en-NZ"/>
              </w:rPr>
              <w:t xml:space="preserve"> the nature of the problem confronting them</w:t>
            </w:r>
            <w:r w:rsidR="00B12DAF" w:rsidRPr="000805F4">
              <w:rPr>
                <w:rFonts w:ascii="Arial" w:hAnsi="Arial" w:cs="Arial"/>
                <w:i/>
                <w:lang w:val="en-NZ"/>
              </w:rPr>
              <w:t>.</w:t>
            </w:r>
          </w:p>
          <w:p w:rsidR="00FC637E" w:rsidRPr="000805F4" w:rsidRDefault="00190F6D" w:rsidP="004D143C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 xml:space="preserve">The </w:t>
            </w:r>
            <w:r w:rsidR="000E3919" w:rsidRPr="000805F4">
              <w:rPr>
                <w:rFonts w:ascii="Arial" w:hAnsi="Arial" w:cs="Arial"/>
                <w:i/>
                <w:lang w:val="en-NZ"/>
              </w:rPr>
              <w:t xml:space="preserve">mathematics </w:t>
            </w:r>
            <w:r w:rsidRPr="000805F4">
              <w:rPr>
                <w:rFonts w:ascii="Arial" w:hAnsi="Arial" w:cs="Arial"/>
                <w:i/>
                <w:lang w:val="en-NZ"/>
              </w:rPr>
              <w:t>text was used</w:t>
            </w:r>
            <w:r w:rsidR="00B12DAF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="004D143C" w:rsidRPr="000805F4">
              <w:rPr>
                <w:rFonts w:ascii="Arial" w:hAnsi="Arial" w:cs="Arial"/>
                <w:i/>
                <w:lang w:val="en-NZ"/>
              </w:rPr>
              <w:t xml:space="preserve">as a </w:t>
            </w:r>
            <w:r w:rsidR="00B12DAF" w:rsidRPr="000805F4">
              <w:rPr>
                <w:rFonts w:ascii="Arial" w:hAnsi="Arial" w:cs="Arial"/>
                <w:i/>
                <w:lang w:val="en-NZ"/>
              </w:rPr>
              <w:t>source of information</w:t>
            </w:r>
            <w:r w:rsidR="000E3919" w:rsidRPr="000805F4">
              <w:rPr>
                <w:rFonts w:ascii="Arial" w:hAnsi="Arial" w:cs="Arial"/>
                <w:i/>
                <w:lang w:val="en-NZ"/>
              </w:rPr>
              <w:t>,</w:t>
            </w:r>
            <w:r w:rsidR="00B12DAF" w:rsidRPr="000805F4">
              <w:rPr>
                <w:rFonts w:ascii="Arial" w:hAnsi="Arial" w:cs="Arial"/>
                <w:i/>
                <w:lang w:val="en-NZ"/>
              </w:rPr>
              <w:t xml:space="preserve"> and </w:t>
            </w:r>
            <w:r w:rsidRPr="000805F4">
              <w:rPr>
                <w:rFonts w:ascii="Arial" w:hAnsi="Arial" w:cs="Arial"/>
                <w:i/>
                <w:lang w:val="en-NZ"/>
              </w:rPr>
              <w:t>literacy strategies were employed</w:t>
            </w:r>
            <w:r w:rsidR="00B12DAF" w:rsidRPr="000805F4">
              <w:rPr>
                <w:rFonts w:ascii="Arial" w:hAnsi="Arial" w:cs="Arial"/>
                <w:i/>
                <w:lang w:val="en-NZ"/>
              </w:rPr>
              <w:t xml:space="preserve"> around text structure, surface and deep features of the text</w:t>
            </w:r>
            <w:r w:rsidR="000E3919" w:rsidRPr="000805F4">
              <w:rPr>
                <w:rFonts w:ascii="Arial" w:hAnsi="Arial" w:cs="Arial"/>
                <w:i/>
                <w:lang w:val="en-NZ"/>
              </w:rPr>
              <w:t xml:space="preserve"> to extract and infer what was relevant to</w:t>
            </w:r>
            <w:r w:rsidR="00175343" w:rsidRPr="000805F4">
              <w:rPr>
                <w:rFonts w:ascii="Arial" w:hAnsi="Arial" w:cs="Arial"/>
                <w:i/>
                <w:lang w:val="en-NZ"/>
              </w:rPr>
              <w:t xml:space="preserve"> the problem</w:t>
            </w:r>
            <w:r w:rsidR="00F175E0" w:rsidRPr="000805F4">
              <w:rPr>
                <w:rFonts w:ascii="Arial" w:hAnsi="Arial" w:cs="Arial"/>
                <w:i/>
                <w:lang w:val="en-NZ"/>
              </w:rPr>
              <w:t xml:space="preserve">. </w:t>
            </w:r>
            <w:r w:rsidR="00B12DAF" w:rsidRPr="000805F4">
              <w:rPr>
                <w:rFonts w:ascii="Arial" w:hAnsi="Arial" w:cs="Arial"/>
                <w:i/>
                <w:lang w:val="en-NZ"/>
              </w:rPr>
              <w:t>This involved definitions, terminology, developing worked examples and writing to describe important features of the student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>’</w:t>
            </w:r>
            <w:r w:rsidR="00B12DAF" w:rsidRPr="000805F4">
              <w:rPr>
                <w:rFonts w:ascii="Arial" w:hAnsi="Arial" w:cs="Arial"/>
                <w:i/>
                <w:lang w:val="en-NZ"/>
              </w:rPr>
              <w:t>s reasoning proc</w:t>
            </w:r>
            <w:r w:rsidR="00175343" w:rsidRPr="000805F4">
              <w:rPr>
                <w:rFonts w:ascii="Arial" w:hAnsi="Arial" w:cs="Arial"/>
                <w:i/>
                <w:lang w:val="en-NZ"/>
              </w:rPr>
              <w:t>ess.  The writing was evidence that the students were reaching</w:t>
            </w:r>
            <w:r w:rsidR="00B12DAF" w:rsidRPr="000805F4">
              <w:rPr>
                <w:rFonts w:ascii="Arial" w:hAnsi="Arial" w:cs="Arial"/>
                <w:i/>
                <w:lang w:val="en-NZ"/>
              </w:rPr>
              <w:t xml:space="preserve"> key points in the work.  These approaches were undertaken because students need to be able to draw out the mathematical concept from the word scenario/context.</w:t>
            </w:r>
          </w:p>
        </w:tc>
      </w:tr>
      <w:tr w:rsidR="00AE4650" w:rsidRPr="002B345C">
        <w:tc>
          <w:tcPr>
            <w:tcW w:w="3085" w:type="dxa"/>
          </w:tcPr>
          <w:p w:rsidR="00AE4650" w:rsidRPr="002B345C" w:rsidRDefault="00707DCC" w:rsidP="002618D6">
            <w:pPr>
              <w:rPr>
                <w:rFonts w:ascii="Arial" w:hAnsi="Arial" w:cs="Arial"/>
                <w:lang w:val="en-NZ"/>
              </w:rPr>
            </w:pPr>
            <w:r w:rsidRPr="002B345C">
              <w:rPr>
                <w:rFonts w:ascii="Arial" w:hAnsi="Arial" w:cs="Arial"/>
                <w:noProof/>
                <w:lang w:val="en-NZ" w:eastAsia="en-NZ"/>
              </w:rPr>
              <w:lastRenderedPageBreak/>
              <w:drawing>
                <wp:inline distT="0" distB="0" distL="0" distR="0">
                  <wp:extent cx="2028825" cy="1280488"/>
                  <wp:effectExtent l="1905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58438" t="54444" r="28854" b="34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280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4650" w:rsidRPr="002B345C" w:rsidRDefault="00AE4650" w:rsidP="002618D6">
            <w:pPr>
              <w:rPr>
                <w:rFonts w:ascii="Arial" w:hAnsi="Arial" w:cs="Arial"/>
                <w:lang w:val="en-NZ"/>
              </w:rPr>
            </w:pPr>
          </w:p>
        </w:tc>
        <w:tc>
          <w:tcPr>
            <w:tcW w:w="11531" w:type="dxa"/>
          </w:tcPr>
          <w:p w:rsidR="00AE4650" w:rsidRPr="000805F4" w:rsidRDefault="00AE4650" w:rsidP="002618D6">
            <w:pPr>
              <w:rPr>
                <w:rFonts w:ascii="Arial" w:hAnsi="Arial" w:cs="Arial"/>
                <w:b/>
                <w:lang w:val="en-NZ"/>
              </w:rPr>
            </w:pPr>
            <w:r w:rsidRPr="000805F4">
              <w:rPr>
                <w:rFonts w:ascii="Arial" w:hAnsi="Arial" w:cs="Arial"/>
                <w:b/>
                <w:lang w:val="en-NZ"/>
              </w:rPr>
              <w:t>What happened and implications for future</w:t>
            </w:r>
          </w:p>
          <w:p w:rsidR="00190F6D" w:rsidRPr="000805F4" w:rsidRDefault="00190F6D" w:rsidP="00190F6D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 xml:space="preserve">The students </w:t>
            </w:r>
            <w:r w:rsidR="004C79DF" w:rsidRPr="000805F4">
              <w:rPr>
                <w:rFonts w:ascii="Arial" w:hAnsi="Arial" w:cs="Arial"/>
                <w:i/>
                <w:lang w:val="en-NZ"/>
              </w:rPr>
              <w:t>started to make the connections between the</w:t>
            </w:r>
            <w:r w:rsidRPr="000805F4">
              <w:rPr>
                <w:rFonts w:ascii="Arial" w:hAnsi="Arial" w:cs="Arial"/>
                <w:i/>
                <w:lang w:val="en-NZ"/>
              </w:rPr>
              <w:t>ir prior knowledge of</w:t>
            </w:r>
            <w:r w:rsidR="004C79DF" w:rsidRPr="000805F4">
              <w:rPr>
                <w:rFonts w:ascii="Arial" w:hAnsi="Arial" w:cs="Arial"/>
                <w:i/>
                <w:lang w:val="en-NZ"/>
              </w:rPr>
              <w:t xml:space="preserve"> mathematical skills and the context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 xml:space="preserve"> of the questions that are posed in </w:t>
            </w:r>
            <w:r w:rsidR="005B11AC" w:rsidRPr="000805F4">
              <w:rPr>
                <w:rFonts w:ascii="Arial" w:hAnsi="Arial" w:cs="Arial"/>
                <w:i/>
                <w:lang w:val="en-NZ"/>
              </w:rPr>
              <w:t>rich tasks and in the assessment</w:t>
            </w:r>
            <w:r w:rsidR="00F175E0" w:rsidRPr="000805F4">
              <w:rPr>
                <w:rFonts w:ascii="Arial" w:hAnsi="Arial" w:cs="Arial"/>
                <w:i/>
                <w:lang w:val="en-NZ"/>
              </w:rPr>
              <w:t xml:space="preserve"> activities written for the real</w:t>
            </w:r>
            <w:r w:rsidR="005B11AC" w:rsidRPr="000805F4">
              <w:rPr>
                <w:rFonts w:ascii="Arial" w:hAnsi="Arial" w:cs="Arial"/>
                <w:i/>
                <w:lang w:val="en-NZ"/>
              </w:rPr>
              <w:t>igned level 1 internal assessments,</w:t>
            </w:r>
          </w:p>
          <w:p w:rsidR="004929C8" w:rsidRPr="000805F4" w:rsidRDefault="00175343" w:rsidP="00190F6D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Student efficacy</w:t>
            </w:r>
            <w:r w:rsidR="00190F6D" w:rsidRPr="000805F4">
              <w:rPr>
                <w:rFonts w:ascii="Arial" w:hAnsi="Arial" w:cs="Arial"/>
                <w:i/>
                <w:lang w:val="en-NZ"/>
              </w:rPr>
              <w:t xml:space="preserve"> increased.  Students are able to articulate verbally and in writing what is going on in their heads as they attempt to solve the problems.  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>T</w:t>
            </w:r>
            <w:r w:rsidR="00190F6D" w:rsidRPr="000805F4">
              <w:rPr>
                <w:rFonts w:ascii="Arial" w:hAnsi="Arial" w:cs="Arial"/>
                <w:i/>
                <w:lang w:val="en-NZ"/>
              </w:rPr>
              <w:t>hey now understand math</w:t>
            </w:r>
            <w:r w:rsidR="000A7F14" w:rsidRPr="000805F4">
              <w:rPr>
                <w:rFonts w:ascii="Arial" w:hAnsi="Arial" w:cs="Arial"/>
                <w:i/>
                <w:lang w:val="en-NZ"/>
              </w:rPr>
              <w:t xml:space="preserve">ematics 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 xml:space="preserve">as a process rather than </w:t>
            </w:r>
            <w:r w:rsidR="00190F6D" w:rsidRPr="000805F4">
              <w:rPr>
                <w:rFonts w:ascii="Arial" w:hAnsi="Arial" w:cs="Arial"/>
                <w:i/>
                <w:lang w:val="en-NZ"/>
              </w:rPr>
              <w:t xml:space="preserve">just 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>getting an answer as an outcome</w:t>
            </w:r>
            <w:r w:rsidR="00190F6D" w:rsidRPr="000805F4">
              <w:rPr>
                <w:rFonts w:ascii="Arial" w:hAnsi="Arial" w:cs="Arial"/>
                <w:i/>
                <w:lang w:val="en-NZ"/>
              </w:rPr>
              <w:t>.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</w:p>
          <w:p w:rsidR="00190F6D" w:rsidRPr="000805F4" w:rsidRDefault="004929C8" w:rsidP="00190F6D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 xml:space="preserve">This work has confirmed the importance of explicitly teaching problem solving strategies as tools that students can use to access rich tasks and unfamiliar contexts </w:t>
            </w:r>
          </w:p>
          <w:p w:rsidR="00FC637E" w:rsidRPr="000805F4" w:rsidRDefault="004976B1" w:rsidP="004929C8">
            <w:pPr>
              <w:rPr>
                <w:rFonts w:ascii="Arial" w:hAnsi="Arial" w:cs="Arial"/>
                <w:i/>
                <w:lang w:val="en-NZ"/>
              </w:rPr>
            </w:pPr>
            <w:r w:rsidRPr="000805F4">
              <w:rPr>
                <w:rFonts w:ascii="Arial" w:hAnsi="Arial" w:cs="Arial"/>
                <w:i/>
                <w:lang w:val="en-NZ"/>
              </w:rPr>
              <w:t>The next steps</w:t>
            </w:r>
            <w:r w:rsidR="003E02A1" w:rsidRPr="000805F4">
              <w:rPr>
                <w:rFonts w:ascii="Arial" w:hAnsi="Arial" w:cs="Arial"/>
                <w:i/>
                <w:lang w:val="en-NZ"/>
              </w:rPr>
              <w:t xml:space="preserve">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are to </w:t>
            </w:r>
            <w:r w:rsidR="003E02A1" w:rsidRPr="000805F4">
              <w:rPr>
                <w:rFonts w:ascii="Arial" w:hAnsi="Arial" w:cs="Arial"/>
                <w:i/>
                <w:lang w:val="en-NZ"/>
              </w:rPr>
              <w:t xml:space="preserve">continue to 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 xml:space="preserve">further </w:t>
            </w:r>
            <w:r w:rsidR="003E02A1" w:rsidRPr="000805F4">
              <w:rPr>
                <w:rFonts w:ascii="Arial" w:hAnsi="Arial" w:cs="Arial"/>
                <w:i/>
                <w:lang w:val="en-NZ"/>
              </w:rPr>
              <w:t xml:space="preserve">adapt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the teaching </w:t>
            </w:r>
            <w:r w:rsidR="003E02A1" w:rsidRPr="000805F4">
              <w:rPr>
                <w:rFonts w:ascii="Arial" w:hAnsi="Arial" w:cs="Arial"/>
                <w:i/>
                <w:lang w:val="en-NZ"/>
              </w:rPr>
              <w:t xml:space="preserve">and learning 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approach by teaching the skills of the 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 xml:space="preserve">mathematics learning area </w:t>
            </w:r>
            <w:r w:rsidRPr="000805F4">
              <w:rPr>
                <w:rFonts w:ascii="Arial" w:hAnsi="Arial" w:cs="Arial"/>
                <w:i/>
                <w:lang w:val="en-NZ"/>
              </w:rPr>
              <w:t>in a holistic way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>,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 through the 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 xml:space="preserve">regular </w:t>
            </w:r>
            <w:r w:rsidRPr="000805F4">
              <w:rPr>
                <w:rFonts w:ascii="Arial" w:hAnsi="Arial" w:cs="Arial"/>
                <w:i/>
                <w:lang w:val="en-NZ"/>
              </w:rPr>
              <w:t>use of rich tasks and contexts that the students may be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 xml:space="preserve"> familiar with, and then lead them in</w:t>
            </w:r>
            <w:r w:rsidRPr="000805F4">
              <w:rPr>
                <w:rFonts w:ascii="Arial" w:hAnsi="Arial" w:cs="Arial"/>
                <w:i/>
                <w:lang w:val="en-NZ"/>
              </w:rPr>
              <w:t>to</w:t>
            </w:r>
            <w:r w:rsidR="004929C8" w:rsidRPr="000805F4">
              <w:rPr>
                <w:rFonts w:ascii="Arial" w:hAnsi="Arial" w:cs="Arial"/>
                <w:i/>
                <w:lang w:val="en-NZ"/>
              </w:rPr>
              <w:t xml:space="preserve"> more challenging tasks in increasingly</w:t>
            </w:r>
            <w:r w:rsidRPr="000805F4">
              <w:rPr>
                <w:rFonts w:ascii="Arial" w:hAnsi="Arial" w:cs="Arial"/>
                <w:i/>
                <w:lang w:val="en-NZ"/>
              </w:rPr>
              <w:t xml:space="preserve"> unfamiliar contexts.</w:t>
            </w:r>
            <w:r w:rsidR="00CB4162" w:rsidRPr="000805F4">
              <w:rPr>
                <w:rFonts w:ascii="Arial" w:hAnsi="Arial" w:cs="Arial"/>
                <w:i/>
                <w:lang w:val="en-NZ"/>
              </w:rPr>
              <w:t xml:space="preserve">  </w:t>
            </w:r>
          </w:p>
        </w:tc>
      </w:tr>
    </w:tbl>
    <w:p w:rsidR="00FC3343" w:rsidRPr="002B345C" w:rsidRDefault="00FC3343"/>
    <w:sectPr w:rsidR="00FC3343" w:rsidRPr="002B345C" w:rsidSect="002618D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84DDD"/>
    <w:multiLevelType w:val="hybridMultilevel"/>
    <w:tmpl w:val="B8BEEC34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1090C6A"/>
    <w:multiLevelType w:val="hybridMultilevel"/>
    <w:tmpl w:val="D354B7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AE4650"/>
    <w:rsid w:val="000554E1"/>
    <w:rsid w:val="000557A7"/>
    <w:rsid w:val="00064A84"/>
    <w:rsid w:val="000805F4"/>
    <w:rsid w:val="000A7F14"/>
    <w:rsid w:val="000D652D"/>
    <w:rsid w:val="000E3919"/>
    <w:rsid w:val="00126F5D"/>
    <w:rsid w:val="00130F86"/>
    <w:rsid w:val="00175343"/>
    <w:rsid w:val="00190F6D"/>
    <w:rsid w:val="00195D08"/>
    <w:rsid w:val="001E781C"/>
    <w:rsid w:val="002618D6"/>
    <w:rsid w:val="00275BEE"/>
    <w:rsid w:val="002B345C"/>
    <w:rsid w:val="002F6329"/>
    <w:rsid w:val="00304EF0"/>
    <w:rsid w:val="0036100A"/>
    <w:rsid w:val="00372051"/>
    <w:rsid w:val="003B11AD"/>
    <w:rsid w:val="003B1C6A"/>
    <w:rsid w:val="003C74C6"/>
    <w:rsid w:val="003D15EE"/>
    <w:rsid w:val="003E02A1"/>
    <w:rsid w:val="003E44CC"/>
    <w:rsid w:val="003F4905"/>
    <w:rsid w:val="00413FED"/>
    <w:rsid w:val="00423A6F"/>
    <w:rsid w:val="004929C8"/>
    <w:rsid w:val="004976B1"/>
    <w:rsid w:val="004B633B"/>
    <w:rsid w:val="004C79DF"/>
    <w:rsid w:val="004D143C"/>
    <w:rsid w:val="004D464F"/>
    <w:rsid w:val="00542CDD"/>
    <w:rsid w:val="0054590E"/>
    <w:rsid w:val="00552D31"/>
    <w:rsid w:val="00564E68"/>
    <w:rsid w:val="005B11AC"/>
    <w:rsid w:val="005E20AA"/>
    <w:rsid w:val="005E5581"/>
    <w:rsid w:val="00617F19"/>
    <w:rsid w:val="006A4690"/>
    <w:rsid w:val="006C0361"/>
    <w:rsid w:val="006C32C9"/>
    <w:rsid w:val="006E4F5F"/>
    <w:rsid w:val="006E5B0E"/>
    <w:rsid w:val="00703B39"/>
    <w:rsid w:val="00707DCC"/>
    <w:rsid w:val="007648FF"/>
    <w:rsid w:val="007C0A86"/>
    <w:rsid w:val="00852E1C"/>
    <w:rsid w:val="0088228A"/>
    <w:rsid w:val="008957C0"/>
    <w:rsid w:val="008D014A"/>
    <w:rsid w:val="008E766E"/>
    <w:rsid w:val="00A52F54"/>
    <w:rsid w:val="00A56CC8"/>
    <w:rsid w:val="00A841C9"/>
    <w:rsid w:val="00A84235"/>
    <w:rsid w:val="00AE4650"/>
    <w:rsid w:val="00B12DAF"/>
    <w:rsid w:val="00B31BFC"/>
    <w:rsid w:val="00B34AF5"/>
    <w:rsid w:val="00C27EEE"/>
    <w:rsid w:val="00CB066B"/>
    <w:rsid w:val="00CB4162"/>
    <w:rsid w:val="00CE4744"/>
    <w:rsid w:val="00D407B9"/>
    <w:rsid w:val="00D461C4"/>
    <w:rsid w:val="00D6134F"/>
    <w:rsid w:val="00DC62E7"/>
    <w:rsid w:val="00E22B9E"/>
    <w:rsid w:val="00E5038B"/>
    <w:rsid w:val="00E73159"/>
    <w:rsid w:val="00EC055A"/>
    <w:rsid w:val="00ED79FD"/>
    <w:rsid w:val="00F00680"/>
    <w:rsid w:val="00F175E0"/>
    <w:rsid w:val="00F20615"/>
    <w:rsid w:val="00FC3343"/>
    <w:rsid w:val="00FC4B51"/>
    <w:rsid w:val="00FC6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465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41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1C9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4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4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474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744"/>
    <w:rPr>
      <w:b/>
      <w:bCs/>
    </w:rPr>
  </w:style>
  <w:style w:type="paragraph" w:styleId="ListParagraph">
    <w:name w:val="List Paragraph"/>
    <w:basedOn w:val="Normal"/>
    <w:uiPriority w:val="34"/>
    <w:qFormat/>
    <w:rsid w:val="0012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</dc:creator>
  <cp:keywords/>
  <dc:description/>
  <cp:lastModifiedBy>Katrina Young</cp:lastModifiedBy>
  <cp:revision>4</cp:revision>
  <cp:lastPrinted>2011-11-10T20:02:00Z</cp:lastPrinted>
  <dcterms:created xsi:type="dcterms:W3CDTF">2011-11-11T00:26:00Z</dcterms:created>
  <dcterms:modified xsi:type="dcterms:W3CDTF">2011-11-11T02:07:00Z</dcterms:modified>
</cp:coreProperties>
</file>