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80D" w:rsidRPr="00184A96" w:rsidRDefault="00ED180D" w:rsidP="00ED180D">
      <w:pPr>
        <w:pStyle w:val="ListParagraph"/>
        <w:rPr>
          <w:b/>
          <w:color w:val="002060"/>
          <w:sz w:val="32"/>
          <w:szCs w:val="32"/>
          <w:lang w:val="en-NZ"/>
        </w:rPr>
      </w:pPr>
      <w:r w:rsidRPr="00184A96">
        <w:rPr>
          <w:b/>
          <w:color w:val="002060"/>
          <w:sz w:val="32"/>
          <w:szCs w:val="32"/>
          <w:lang w:val="en-NZ"/>
        </w:rPr>
        <w:t>Implementing the literacy unit standards for NCEA level 1</w:t>
      </w:r>
    </w:p>
    <w:p w:rsidR="00ED180D" w:rsidRDefault="00ED180D" w:rsidP="00ED180D">
      <w:pPr>
        <w:pStyle w:val="ListParagraph"/>
        <w:rPr>
          <w:rFonts w:asciiTheme="majorHAnsi" w:hAnsiTheme="majorHAnsi"/>
          <w:i/>
          <w:lang w:val="en-NZ"/>
        </w:rPr>
      </w:pPr>
    </w:p>
    <w:p w:rsidR="00997D46" w:rsidRDefault="00ED180D" w:rsidP="00ED180D">
      <w:pPr>
        <w:pStyle w:val="ListParagraph"/>
        <w:rPr>
          <w:rFonts w:asciiTheme="majorHAnsi" w:hAnsiTheme="majorHAnsi"/>
          <w:i/>
          <w:lang w:val="en-NZ"/>
        </w:rPr>
      </w:pPr>
      <w:r w:rsidRPr="00881192">
        <w:rPr>
          <w:rFonts w:asciiTheme="majorHAnsi" w:hAnsiTheme="majorHAnsi"/>
          <w:i/>
          <w:lang w:val="en-NZ"/>
        </w:rPr>
        <w:t xml:space="preserve">Trish Holden is a secondary literacy and curriculum </w:t>
      </w:r>
      <w:r>
        <w:rPr>
          <w:rFonts w:asciiTheme="majorHAnsi" w:hAnsiTheme="majorHAnsi"/>
          <w:i/>
          <w:lang w:val="en-NZ"/>
        </w:rPr>
        <w:t xml:space="preserve">advisor with UC Education </w:t>
      </w:r>
      <w:proofErr w:type="gramStart"/>
      <w:r>
        <w:rPr>
          <w:rFonts w:asciiTheme="majorHAnsi" w:hAnsiTheme="majorHAnsi"/>
          <w:i/>
          <w:lang w:val="en-NZ"/>
        </w:rPr>
        <w:t>Plus</w:t>
      </w:r>
      <w:proofErr w:type="gramEnd"/>
      <w:r>
        <w:rPr>
          <w:rFonts w:asciiTheme="majorHAnsi" w:hAnsiTheme="majorHAnsi"/>
          <w:i/>
          <w:lang w:val="en-NZ"/>
        </w:rPr>
        <w:t xml:space="preserve"> in Christchurch.  In term three she was granted</w:t>
      </w:r>
      <w:r w:rsidRPr="00881192">
        <w:rPr>
          <w:rFonts w:asciiTheme="majorHAnsi" w:hAnsiTheme="majorHAnsi"/>
          <w:i/>
          <w:lang w:val="en-NZ"/>
        </w:rPr>
        <w:t xml:space="preserve"> sabbatical leave </w:t>
      </w:r>
      <w:r>
        <w:rPr>
          <w:rFonts w:asciiTheme="majorHAnsi" w:hAnsiTheme="majorHAnsi"/>
          <w:i/>
          <w:lang w:val="en-NZ"/>
        </w:rPr>
        <w:t xml:space="preserve">to investigate </w:t>
      </w:r>
      <w:r w:rsidRPr="00881192">
        <w:rPr>
          <w:rFonts w:asciiTheme="majorHAnsi" w:hAnsiTheme="majorHAnsi"/>
          <w:i/>
          <w:lang w:val="en-NZ"/>
        </w:rPr>
        <w:t>h</w:t>
      </w:r>
      <w:r>
        <w:rPr>
          <w:rFonts w:asciiTheme="majorHAnsi" w:hAnsiTheme="majorHAnsi"/>
          <w:i/>
          <w:lang w:val="en-NZ"/>
        </w:rPr>
        <w:t>ow schools are implementing the</w:t>
      </w:r>
      <w:r w:rsidRPr="00881192">
        <w:rPr>
          <w:rFonts w:asciiTheme="majorHAnsi" w:hAnsiTheme="majorHAnsi"/>
          <w:i/>
          <w:lang w:val="en-NZ"/>
        </w:rPr>
        <w:t xml:space="preserve"> literacy unit standards for level one NCEA. </w:t>
      </w:r>
    </w:p>
    <w:p w:rsidR="00997D46" w:rsidRDefault="00997D46" w:rsidP="00ED180D">
      <w:pPr>
        <w:pStyle w:val="ListParagraph"/>
        <w:rPr>
          <w:rFonts w:asciiTheme="majorHAnsi" w:hAnsiTheme="majorHAnsi"/>
          <w:lang w:val="en-NZ"/>
        </w:rPr>
      </w:pPr>
    </w:p>
    <w:p w:rsidR="00997D46" w:rsidRPr="00997D46" w:rsidRDefault="00997D46" w:rsidP="00ED180D">
      <w:pPr>
        <w:pStyle w:val="ListParagraph"/>
        <w:rPr>
          <w:rFonts w:asciiTheme="majorHAnsi" w:hAnsiTheme="majorHAnsi"/>
          <w:b/>
          <w:lang w:val="en-NZ"/>
        </w:rPr>
      </w:pPr>
      <w:r w:rsidRPr="00997D46">
        <w:rPr>
          <w:b/>
          <w:lang w:val="en-NZ"/>
        </w:rPr>
        <w:t xml:space="preserve">The introduction of two literacy pathways for the National Certificate of Educational Achievement (NCEA) level one signifies a major shift in the assessment of literacy at this level.  This change could also be </w:t>
      </w:r>
      <w:r w:rsidR="0012270B">
        <w:rPr>
          <w:b/>
          <w:lang w:val="en-NZ"/>
        </w:rPr>
        <w:t>the catalyst for more effective</w:t>
      </w:r>
      <w:r w:rsidRPr="00997D46">
        <w:rPr>
          <w:b/>
          <w:lang w:val="en-NZ"/>
        </w:rPr>
        <w:t xml:space="preserve"> cross-curricular literacy teaching in secondary schools.</w:t>
      </w:r>
    </w:p>
    <w:p w:rsidR="00ED180D" w:rsidRPr="00997D46" w:rsidRDefault="00ED180D" w:rsidP="00ED180D">
      <w:pPr>
        <w:pStyle w:val="ListParagraph"/>
        <w:rPr>
          <w:rFonts w:asciiTheme="majorHAnsi" w:hAnsiTheme="majorHAnsi"/>
          <w:i/>
          <w:color w:val="00B0F0"/>
          <w:sz w:val="28"/>
          <w:szCs w:val="28"/>
          <w:lang w:val="en-NZ"/>
        </w:rPr>
      </w:pPr>
    </w:p>
    <w:p w:rsidR="00997D46" w:rsidRDefault="00216003" w:rsidP="00ED180D">
      <w:pPr>
        <w:pStyle w:val="ListParagraph"/>
        <w:rPr>
          <w:rFonts w:asciiTheme="majorHAnsi" w:hAnsiTheme="majorHAnsi"/>
          <w:b/>
          <w:color w:val="31849B" w:themeColor="accent5" w:themeShade="BF"/>
          <w:sz w:val="28"/>
          <w:szCs w:val="28"/>
          <w:lang w:val="en-NZ"/>
        </w:rPr>
      </w:pPr>
      <w:r>
        <w:rPr>
          <w:rFonts w:asciiTheme="majorHAnsi" w:hAnsiTheme="majorHAnsi"/>
          <w:b/>
          <w:color w:val="31849B" w:themeColor="accent5" w:themeShade="BF"/>
          <w:sz w:val="28"/>
          <w:szCs w:val="28"/>
          <w:lang w:val="en-NZ"/>
        </w:rPr>
        <w:t>The ‘old’</w:t>
      </w:r>
      <w:r w:rsidR="00997D46" w:rsidRPr="00184A96">
        <w:rPr>
          <w:rFonts w:asciiTheme="majorHAnsi" w:hAnsiTheme="majorHAnsi"/>
          <w:b/>
          <w:color w:val="31849B" w:themeColor="accent5" w:themeShade="BF"/>
          <w:sz w:val="28"/>
          <w:szCs w:val="28"/>
          <w:lang w:val="en-NZ"/>
        </w:rPr>
        <w:t xml:space="preserve"> literacy pathway within an English programme </w:t>
      </w:r>
    </w:p>
    <w:p w:rsidR="00F52685" w:rsidRPr="00184A96" w:rsidRDefault="00F52685" w:rsidP="00ED180D">
      <w:pPr>
        <w:pStyle w:val="ListParagraph"/>
        <w:rPr>
          <w:rFonts w:asciiTheme="majorHAnsi" w:hAnsiTheme="majorHAnsi"/>
          <w:b/>
          <w:color w:val="31849B" w:themeColor="accent5" w:themeShade="BF"/>
          <w:sz w:val="28"/>
          <w:szCs w:val="28"/>
          <w:lang w:val="en-NZ"/>
        </w:rPr>
      </w:pPr>
    </w:p>
    <w:p w:rsidR="00ED180D" w:rsidRDefault="00ED180D" w:rsidP="00ED180D">
      <w:pPr>
        <w:pStyle w:val="ListParagraph"/>
        <w:rPr>
          <w:lang w:val="en-NZ"/>
        </w:rPr>
      </w:pPr>
      <w:r>
        <w:rPr>
          <w:lang w:val="en-NZ"/>
        </w:rPr>
        <w:t>Prior to this year, students could gain their literacy credits only through success in English achievement or unit standards, or through a small number of designated Communication Skills standards.  This meant that English teachers were the ‘gatekeepers’ of literacy for qualifications.</w:t>
      </w:r>
      <w:r w:rsidR="00997D46">
        <w:rPr>
          <w:lang w:val="en-NZ"/>
        </w:rPr>
        <w:t xml:space="preserve"> </w:t>
      </w:r>
    </w:p>
    <w:p w:rsidR="00ED180D" w:rsidRPr="00184A96" w:rsidRDefault="00ED180D" w:rsidP="00ED180D">
      <w:pPr>
        <w:pStyle w:val="ListParagraph"/>
        <w:rPr>
          <w:color w:val="31849B" w:themeColor="accent5" w:themeShade="BF"/>
          <w:lang w:val="en-NZ"/>
        </w:rPr>
      </w:pPr>
    </w:p>
    <w:p w:rsidR="00ED180D" w:rsidRDefault="00ED180D" w:rsidP="00ED180D">
      <w:pPr>
        <w:pStyle w:val="ListParagraph"/>
        <w:rPr>
          <w:b/>
          <w:color w:val="31849B" w:themeColor="accent5" w:themeShade="BF"/>
          <w:sz w:val="28"/>
          <w:szCs w:val="28"/>
          <w:lang w:val="en-NZ"/>
        </w:rPr>
      </w:pPr>
      <w:proofErr w:type="gramStart"/>
      <w:r w:rsidRPr="00184A96">
        <w:rPr>
          <w:b/>
          <w:color w:val="31849B" w:themeColor="accent5" w:themeShade="BF"/>
          <w:sz w:val="28"/>
          <w:szCs w:val="28"/>
          <w:lang w:val="en-NZ"/>
        </w:rPr>
        <w:t>The ‘new’ literacy pathways within a programme of learning.</w:t>
      </w:r>
      <w:proofErr w:type="gramEnd"/>
    </w:p>
    <w:p w:rsidR="00F52685" w:rsidRPr="00184A96" w:rsidRDefault="00F52685" w:rsidP="00ED180D">
      <w:pPr>
        <w:pStyle w:val="ListParagraph"/>
        <w:rPr>
          <w:b/>
          <w:color w:val="31849B" w:themeColor="accent5" w:themeShade="BF"/>
          <w:sz w:val="28"/>
          <w:szCs w:val="28"/>
          <w:lang w:val="en-NZ"/>
        </w:rPr>
      </w:pPr>
    </w:p>
    <w:p w:rsidR="00ED180D" w:rsidRPr="004D65A1" w:rsidRDefault="00690538" w:rsidP="00ED180D">
      <w:pPr>
        <w:pStyle w:val="ListParagraph"/>
        <w:rPr>
          <w:lang w:val="en-NZ"/>
        </w:rPr>
      </w:pPr>
      <w:r>
        <w:rPr>
          <w:noProof/>
        </w:rPr>
        <w:pict>
          <v:shapetype id="_x0000_t202" coordsize="21600,21600" o:spt="202" path="m,l,21600r21600,l21600,xe">
            <v:stroke joinstyle="miter"/>
            <v:path gradientshapeok="t" o:connecttype="rect"/>
          </v:shapetype>
          <v:shape id="_x0000_s1026" type="#_x0000_t202" style="position:absolute;left:0;text-align:left;margin-left:382.5pt;margin-top:417.35pt;width:146.8pt;height:153pt;z-index:251660288;mso-position-horizontal-relative:page;mso-position-vertical-relative:page;mso-width-relative:margin;v-text-anchor:middle" o:allowincell="f" filled="f" strokecolor="#622423 [1605]" strokeweight="6pt">
            <v:stroke linestyle="thickThin"/>
            <v:textbox style="mso-next-textbox:#_x0000_s1026" inset="10.8pt,7.2pt,10.8pt,7.2pt">
              <w:txbxContent>
                <w:p w:rsidR="0012270B" w:rsidRDefault="0012270B" w:rsidP="00ED180D">
                  <w:pPr>
                    <w:spacing w:after="0" w:line="360" w:lineRule="auto"/>
                    <w:jc w:val="center"/>
                    <w:rPr>
                      <w:rFonts w:asciiTheme="majorHAnsi" w:eastAsiaTheme="majorEastAsia" w:hAnsiTheme="majorHAnsi" w:cstheme="majorBidi"/>
                      <w:b/>
                      <w:iCs/>
                      <w:sz w:val="28"/>
                      <w:szCs w:val="28"/>
                      <w:lang w:val="en-NZ"/>
                    </w:rPr>
                  </w:pPr>
                  <w:r>
                    <w:rPr>
                      <w:rFonts w:asciiTheme="majorHAnsi" w:eastAsiaTheme="majorEastAsia" w:hAnsiTheme="majorHAnsi" w:cstheme="majorBidi"/>
                      <w:b/>
                      <w:iCs/>
                      <w:sz w:val="28"/>
                      <w:szCs w:val="28"/>
                      <w:lang w:val="en-NZ"/>
                    </w:rPr>
                    <w:t>Achievement standards</w:t>
                  </w:r>
                </w:p>
                <w:p w:rsidR="0012270B" w:rsidRPr="0006130A" w:rsidRDefault="0012270B" w:rsidP="00ED180D">
                  <w:pPr>
                    <w:spacing w:after="0" w:line="360" w:lineRule="auto"/>
                    <w:jc w:val="center"/>
                    <w:rPr>
                      <w:rFonts w:asciiTheme="majorHAnsi" w:eastAsiaTheme="majorEastAsia" w:hAnsiTheme="majorHAnsi" w:cstheme="majorBidi"/>
                      <w:iCs/>
                      <w:sz w:val="28"/>
                      <w:szCs w:val="28"/>
                      <w:lang w:val="en-NZ"/>
                    </w:rPr>
                  </w:pPr>
                  <w:r w:rsidRPr="0006130A">
                    <w:rPr>
                      <w:rFonts w:asciiTheme="majorHAnsi" w:eastAsiaTheme="majorEastAsia" w:hAnsiTheme="majorHAnsi" w:cstheme="majorBidi"/>
                      <w:iCs/>
                      <w:sz w:val="24"/>
                      <w:szCs w:val="24"/>
                      <w:lang w:val="en-NZ"/>
                    </w:rPr>
                    <w:t>Students gain literacy by meeting the criteria of specified standards across</w:t>
                  </w:r>
                  <w:r>
                    <w:rPr>
                      <w:rFonts w:asciiTheme="majorHAnsi" w:eastAsiaTheme="majorEastAsia" w:hAnsiTheme="majorHAnsi" w:cstheme="majorBidi"/>
                      <w:iCs/>
                      <w:sz w:val="28"/>
                      <w:szCs w:val="28"/>
                      <w:lang w:val="en-NZ"/>
                    </w:rPr>
                    <w:t xml:space="preserve"> </w:t>
                  </w:r>
                  <w:r w:rsidRPr="0006130A">
                    <w:rPr>
                      <w:rFonts w:asciiTheme="majorHAnsi" w:eastAsiaTheme="majorEastAsia" w:hAnsiTheme="majorHAnsi" w:cstheme="majorBidi"/>
                      <w:iCs/>
                      <w:sz w:val="24"/>
                      <w:szCs w:val="24"/>
                      <w:lang w:val="en-NZ"/>
                    </w:rPr>
                    <w:t>learning areas</w:t>
                  </w:r>
                  <w:r>
                    <w:rPr>
                      <w:rFonts w:asciiTheme="majorHAnsi" w:eastAsiaTheme="majorEastAsia" w:hAnsiTheme="majorHAnsi" w:cstheme="majorBidi"/>
                      <w:iCs/>
                      <w:sz w:val="28"/>
                      <w:szCs w:val="28"/>
                      <w:lang w:val="en-NZ"/>
                    </w:rPr>
                    <w:t xml:space="preserve"> </w:t>
                  </w:r>
                </w:p>
              </w:txbxContent>
            </v:textbox>
            <w10:wrap type="square" anchorx="page" anchory="page"/>
          </v:shape>
        </w:pict>
      </w:r>
      <w:r>
        <w:rPr>
          <w:noProof/>
        </w:rPr>
        <w:pict>
          <v:shape id="_x0000_s1029" type="#_x0000_t202" style="position:absolute;left:0;text-align:left;margin-left:114.5pt;margin-top:417.3pt;width:144.25pt;height:150.75pt;z-index:251663360;mso-position-horizontal-relative:page;mso-position-vertical-relative:page;mso-width-relative:margin;v-text-anchor:middle" o:allowincell="f" filled="f" strokecolor="#622423 [1605]" strokeweight="6pt">
            <v:stroke linestyle="thickThin"/>
            <v:textbox style="mso-next-textbox:#_x0000_s1029" inset="10.8pt,7.2pt,10.8pt,7.2pt">
              <w:txbxContent>
                <w:p w:rsidR="0012270B" w:rsidRDefault="0012270B" w:rsidP="00ED180D">
                  <w:pPr>
                    <w:spacing w:after="0" w:line="360" w:lineRule="auto"/>
                    <w:jc w:val="center"/>
                    <w:rPr>
                      <w:rFonts w:asciiTheme="majorHAnsi" w:eastAsiaTheme="majorEastAsia" w:hAnsiTheme="majorHAnsi" w:cstheme="majorBidi"/>
                      <w:b/>
                      <w:iCs/>
                      <w:sz w:val="28"/>
                      <w:szCs w:val="28"/>
                      <w:lang w:val="en-NZ"/>
                    </w:rPr>
                  </w:pPr>
                  <w:r>
                    <w:rPr>
                      <w:rFonts w:asciiTheme="majorHAnsi" w:eastAsiaTheme="majorEastAsia" w:hAnsiTheme="majorHAnsi" w:cstheme="majorBidi"/>
                      <w:b/>
                      <w:iCs/>
                      <w:sz w:val="28"/>
                      <w:szCs w:val="28"/>
                      <w:lang w:val="en-NZ"/>
                    </w:rPr>
                    <w:t>Unit standards</w:t>
                  </w:r>
                </w:p>
                <w:p w:rsidR="0012270B" w:rsidRPr="0006130A" w:rsidRDefault="0012270B" w:rsidP="00ED180D">
                  <w:pPr>
                    <w:spacing w:after="0" w:line="360" w:lineRule="auto"/>
                    <w:jc w:val="center"/>
                    <w:rPr>
                      <w:rFonts w:asciiTheme="majorHAnsi" w:eastAsiaTheme="majorEastAsia" w:hAnsiTheme="majorHAnsi" w:cstheme="majorBidi"/>
                      <w:iCs/>
                      <w:sz w:val="24"/>
                      <w:szCs w:val="24"/>
                      <w:lang w:val="en-NZ"/>
                    </w:rPr>
                  </w:pPr>
                  <w:r w:rsidRPr="0006130A">
                    <w:rPr>
                      <w:rFonts w:asciiTheme="majorHAnsi" w:eastAsiaTheme="majorEastAsia" w:hAnsiTheme="majorHAnsi" w:cstheme="majorBidi"/>
                      <w:iCs/>
                      <w:sz w:val="24"/>
                      <w:szCs w:val="24"/>
                      <w:lang w:val="en-NZ"/>
                    </w:rPr>
                    <w:t>26622 [writing]</w:t>
                  </w:r>
                </w:p>
                <w:p w:rsidR="0012270B" w:rsidRPr="0006130A" w:rsidRDefault="0012270B" w:rsidP="00ED180D">
                  <w:pPr>
                    <w:spacing w:after="0" w:line="360" w:lineRule="auto"/>
                    <w:jc w:val="center"/>
                    <w:rPr>
                      <w:rFonts w:asciiTheme="majorHAnsi" w:eastAsiaTheme="majorEastAsia" w:hAnsiTheme="majorHAnsi" w:cstheme="majorBidi"/>
                      <w:iCs/>
                      <w:sz w:val="24"/>
                      <w:szCs w:val="24"/>
                      <w:lang w:val="en-NZ"/>
                    </w:rPr>
                  </w:pPr>
                  <w:r w:rsidRPr="0006130A">
                    <w:rPr>
                      <w:rFonts w:asciiTheme="majorHAnsi" w:eastAsiaTheme="majorEastAsia" w:hAnsiTheme="majorHAnsi" w:cstheme="majorBidi"/>
                      <w:iCs/>
                      <w:sz w:val="24"/>
                      <w:szCs w:val="24"/>
                      <w:lang w:val="en-NZ"/>
                    </w:rPr>
                    <w:t>26624 [reading]</w:t>
                  </w:r>
                </w:p>
                <w:p w:rsidR="0012270B" w:rsidRPr="0006130A" w:rsidRDefault="0012270B" w:rsidP="00ED180D">
                  <w:pPr>
                    <w:spacing w:after="0" w:line="360" w:lineRule="auto"/>
                    <w:jc w:val="center"/>
                    <w:rPr>
                      <w:rFonts w:asciiTheme="majorHAnsi" w:eastAsiaTheme="majorEastAsia" w:hAnsiTheme="majorHAnsi" w:cstheme="majorBidi"/>
                      <w:iCs/>
                      <w:sz w:val="24"/>
                      <w:szCs w:val="24"/>
                      <w:lang w:val="en-NZ"/>
                    </w:rPr>
                  </w:pPr>
                  <w:r w:rsidRPr="0006130A">
                    <w:rPr>
                      <w:rFonts w:asciiTheme="majorHAnsi" w:eastAsiaTheme="majorEastAsia" w:hAnsiTheme="majorHAnsi" w:cstheme="majorBidi"/>
                      <w:iCs/>
                      <w:sz w:val="24"/>
                      <w:szCs w:val="24"/>
                      <w:lang w:val="en-NZ"/>
                    </w:rPr>
                    <w:t>26625 [oral]</w:t>
                  </w:r>
                </w:p>
                <w:p w:rsidR="0012270B" w:rsidRPr="0006130A" w:rsidRDefault="0012270B" w:rsidP="00ED180D">
                  <w:pPr>
                    <w:spacing w:after="0" w:line="360" w:lineRule="auto"/>
                    <w:jc w:val="center"/>
                    <w:rPr>
                      <w:rFonts w:asciiTheme="majorHAnsi" w:eastAsiaTheme="majorEastAsia" w:hAnsiTheme="majorHAnsi" w:cstheme="majorBidi"/>
                      <w:b/>
                      <w:iCs/>
                      <w:sz w:val="24"/>
                      <w:szCs w:val="24"/>
                      <w:lang w:val="en-NZ"/>
                    </w:rPr>
                  </w:pPr>
                  <w:r w:rsidRPr="0006130A">
                    <w:rPr>
                      <w:rFonts w:asciiTheme="majorHAnsi" w:eastAsiaTheme="majorEastAsia" w:hAnsiTheme="majorHAnsi" w:cstheme="majorBidi"/>
                      <w:b/>
                      <w:iCs/>
                      <w:sz w:val="24"/>
                      <w:szCs w:val="24"/>
                      <w:lang w:val="en-NZ"/>
                    </w:rPr>
                    <w:t>Students must gain all three standards.</w:t>
                  </w:r>
                </w:p>
              </w:txbxContent>
            </v:textbox>
            <w10:wrap type="square" anchorx="page" anchory="page"/>
          </v:shape>
        </w:pict>
      </w:r>
      <w:r w:rsidR="00ED180D">
        <w:rPr>
          <w:lang w:val="en-NZ"/>
        </w:rPr>
        <w:t>From 2012 st</w:t>
      </w:r>
      <w:r w:rsidR="00AD0EBD">
        <w:rPr>
          <w:lang w:val="en-NZ"/>
        </w:rPr>
        <w:t>udents must use one of two</w:t>
      </w:r>
      <w:r w:rsidR="00ED180D">
        <w:rPr>
          <w:lang w:val="en-NZ"/>
        </w:rPr>
        <w:t xml:space="preserve"> pathways to gain the required 10 literacy credits.</w:t>
      </w:r>
    </w:p>
    <w:p w:rsidR="00ED180D" w:rsidRDefault="00ED180D" w:rsidP="00ED180D">
      <w:pPr>
        <w:spacing w:after="0" w:line="360" w:lineRule="auto"/>
        <w:ind w:left="680"/>
        <w:rPr>
          <w:rFonts w:eastAsiaTheme="majorEastAsia" w:cstheme="majorBidi"/>
          <w:iCs/>
        </w:rPr>
      </w:pPr>
    </w:p>
    <w:p w:rsidR="00ED180D" w:rsidRDefault="00ED180D" w:rsidP="00ED180D">
      <w:pPr>
        <w:spacing w:after="0" w:line="360" w:lineRule="auto"/>
        <w:ind w:left="680"/>
        <w:rPr>
          <w:rFonts w:eastAsiaTheme="majorEastAsia" w:cstheme="majorBidi"/>
          <w:iCs/>
        </w:rPr>
      </w:pPr>
    </w:p>
    <w:p w:rsidR="00ED180D" w:rsidRDefault="00ED180D" w:rsidP="00ED180D">
      <w:pPr>
        <w:spacing w:after="0" w:line="360" w:lineRule="auto"/>
        <w:ind w:left="680"/>
        <w:rPr>
          <w:rFonts w:eastAsiaTheme="majorEastAsia" w:cstheme="majorBidi"/>
          <w:iCs/>
        </w:rPr>
      </w:pPr>
    </w:p>
    <w:p w:rsidR="00ED180D" w:rsidRDefault="00ED180D" w:rsidP="00ED180D">
      <w:pPr>
        <w:spacing w:after="0" w:line="360" w:lineRule="auto"/>
        <w:ind w:left="680"/>
        <w:rPr>
          <w:rFonts w:eastAsiaTheme="majorEastAsia" w:cstheme="majorBidi"/>
          <w:iCs/>
        </w:rPr>
      </w:pPr>
    </w:p>
    <w:p w:rsidR="00ED180D" w:rsidRDefault="00ED180D" w:rsidP="00ED180D">
      <w:pPr>
        <w:spacing w:after="0" w:line="360" w:lineRule="auto"/>
        <w:ind w:left="680"/>
        <w:rPr>
          <w:rFonts w:eastAsiaTheme="majorEastAsia" w:cstheme="majorBidi"/>
          <w:iCs/>
        </w:rPr>
      </w:pPr>
    </w:p>
    <w:p w:rsidR="00ED180D" w:rsidRDefault="00ED180D" w:rsidP="00ED180D">
      <w:pPr>
        <w:spacing w:after="0" w:line="360" w:lineRule="auto"/>
        <w:ind w:left="680"/>
        <w:rPr>
          <w:rFonts w:eastAsiaTheme="majorEastAsia" w:cstheme="majorBidi"/>
          <w:iCs/>
        </w:rPr>
      </w:pPr>
    </w:p>
    <w:p w:rsidR="00ED180D" w:rsidRDefault="00ED180D" w:rsidP="00ED180D">
      <w:pPr>
        <w:spacing w:after="0" w:line="360" w:lineRule="auto"/>
        <w:ind w:left="680"/>
        <w:rPr>
          <w:rFonts w:eastAsiaTheme="majorEastAsia" w:cstheme="majorBidi"/>
          <w:iCs/>
        </w:rPr>
      </w:pPr>
    </w:p>
    <w:p w:rsidR="00ED180D" w:rsidRDefault="00ED180D" w:rsidP="00ED180D">
      <w:pPr>
        <w:spacing w:after="0" w:line="360" w:lineRule="auto"/>
        <w:ind w:left="680"/>
        <w:rPr>
          <w:rFonts w:eastAsiaTheme="majorEastAsia" w:cstheme="majorBidi"/>
          <w:iCs/>
        </w:rPr>
      </w:pPr>
    </w:p>
    <w:p w:rsidR="00ED180D" w:rsidRDefault="00ED180D" w:rsidP="00ED180D">
      <w:pPr>
        <w:spacing w:after="0" w:line="360" w:lineRule="auto"/>
        <w:ind w:left="680"/>
        <w:rPr>
          <w:rFonts w:eastAsiaTheme="majorEastAsia" w:cstheme="majorBidi"/>
          <w:iCs/>
        </w:rPr>
      </w:pPr>
    </w:p>
    <w:p w:rsidR="00ED180D" w:rsidRDefault="00AD0EBD" w:rsidP="00ED180D">
      <w:pPr>
        <w:spacing w:after="0" w:line="360" w:lineRule="auto"/>
        <w:ind w:left="680"/>
        <w:rPr>
          <w:rFonts w:eastAsiaTheme="majorEastAsia" w:cstheme="majorBidi"/>
          <w:iCs/>
        </w:rPr>
      </w:pPr>
      <w:r>
        <w:rPr>
          <w:rFonts w:eastAsiaTheme="majorEastAsia" w:cstheme="majorBidi"/>
          <w:iCs/>
        </w:rPr>
        <w:t>St</w:t>
      </w:r>
      <w:r w:rsidR="00ED180D">
        <w:rPr>
          <w:rFonts w:eastAsiaTheme="majorEastAsia" w:cstheme="majorBidi"/>
          <w:iCs/>
        </w:rPr>
        <w:t>udents might work towards gaining literacy through both unit standards and achievement standards. However, if they gain literacy through achievement standards that literacy pathway will override the literacy unit standards pathway</w:t>
      </w:r>
      <w:r>
        <w:rPr>
          <w:rFonts w:eastAsiaTheme="majorEastAsia" w:cstheme="majorBidi"/>
          <w:iCs/>
        </w:rPr>
        <w:t xml:space="preserve"> Refer to</w:t>
      </w:r>
    </w:p>
    <w:p w:rsidR="00AD0EBD" w:rsidRDefault="00690538" w:rsidP="00ED180D">
      <w:pPr>
        <w:spacing w:after="0" w:line="360" w:lineRule="auto"/>
        <w:ind w:left="680"/>
        <w:rPr>
          <w:rFonts w:eastAsiaTheme="majorEastAsia" w:cstheme="majorBidi"/>
          <w:iCs/>
        </w:rPr>
      </w:pPr>
      <w:hyperlink r:id="rId5" w:history="1">
        <w:r w:rsidR="00AD0EBD" w:rsidRPr="00023554">
          <w:rPr>
            <w:rStyle w:val="Hyperlink"/>
            <w:rFonts w:eastAsiaTheme="majorEastAsia" w:cstheme="majorBidi"/>
            <w:iCs/>
          </w:rPr>
          <w:t>http://www.nzqa.govt.nz/about-us/our-role/legislation/nzqa-rules/secondary-schools-supporting-information/literacy-numeracy-2011/</w:t>
        </w:r>
      </w:hyperlink>
    </w:p>
    <w:p w:rsidR="00AD0EBD" w:rsidRDefault="00997D46" w:rsidP="00997D46">
      <w:pPr>
        <w:spacing w:after="0" w:line="360" w:lineRule="auto"/>
        <w:rPr>
          <w:rFonts w:eastAsiaTheme="majorEastAsia" w:cstheme="majorBidi"/>
          <w:iCs/>
        </w:rPr>
      </w:pPr>
      <w:r>
        <w:rPr>
          <w:rFonts w:eastAsiaTheme="majorEastAsia" w:cstheme="majorBidi"/>
          <w:iCs/>
        </w:rPr>
        <w:t xml:space="preserve">              </w:t>
      </w:r>
      <w:proofErr w:type="gramStart"/>
      <w:r>
        <w:rPr>
          <w:rFonts w:eastAsiaTheme="majorEastAsia" w:cstheme="majorBidi"/>
          <w:iCs/>
        </w:rPr>
        <w:t>for</w:t>
      </w:r>
      <w:proofErr w:type="gramEnd"/>
      <w:r>
        <w:rPr>
          <w:rFonts w:eastAsiaTheme="majorEastAsia" w:cstheme="majorBidi"/>
          <w:iCs/>
        </w:rPr>
        <w:t xml:space="preserve"> further explanation</w:t>
      </w:r>
      <w:r w:rsidR="00184A96">
        <w:rPr>
          <w:rFonts w:eastAsiaTheme="majorEastAsia" w:cstheme="majorBidi"/>
          <w:iCs/>
        </w:rPr>
        <w:t>,</w:t>
      </w:r>
      <w:r>
        <w:rPr>
          <w:rFonts w:eastAsiaTheme="majorEastAsia" w:cstheme="majorBidi"/>
          <w:iCs/>
        </w:rPr>
        <w:t xml:space="preserve">  and </w:t>
      </w:r>
      <w:r w:rsidR="00AD0EBD">
        <w:rPr>
          <w:rFonts w:eastAsiaTheme="majorEastAsia" w:cstheme="majorBidi"/>
          <w:iCs/>
        </w:rPr>
        <w:t xml:space="preserve"> a list of the achieveme</w:t>
      </w:r>
      <w:r w:rsidR="00216003">
        <w:rPr>
          <w:rFonts w:eastAsiaTheme="majorEastAsia" w:cstheme="majorBidi"/>
          <w:iCs/>
        </w:rPr>
        <w:t>nt standards that earn  literacy credits.</w:t>
      </w:r>
      <w:r w:rsidR="00AD0EBD">
        <w:rPr>
          <w:rFonts w:eastAsiaTheme="majorEastAsia" w:cstheme="majorBidi"/>
          <w:iCs/>
        </w:rPr>
        <w:t xml:space="preserve"> </w:t>
      </w:r>
    </w:p>
    <w:p w:rsidR="00ED180D" w:rsidRPr="00ED180D" w:rsidRDefault="00ED180D" w:rsidP="00AD0EBD">
      <w:pPr>
        <w:spacing w:after="0" w:line="360" w:lineRule="auto"/>
        <w:rPr>
          <w:rFonts w:eastAsiaTheme="majorEastAsia" w:cstheme="majorBidi"/>
          <w:b/>
          <w:iCs/>
          <w:sz w:val="24"/>
          <w:szCs w:val="24"/>
        </w:rPr>
      </w:pPr>
    </w:p>
    <w:p w:rsidR="00ED180D" w:rsidRPr="00184A96" w:rsidRDefault="00ED180D" w:rsidP="00AD0EBD">
      <w:pPr>
        <w:pStyle w:val="ListParagraph"/>
        <w:numPr>
          <w:ilvl w:val="0"/>
          <w:numId w:val="2"/>
        </w:numPr>
        <w:spacing w:after="0" w:line="360" w:lineRule="auto"/>
        <w:rPr>
          <w:rFonts w:eastAsiaTheme="majorEastAsia" w:cstheme="majorBidi"/>
          <w:b/>
          <w:iCs/>
          <w:color w:val="B6DDE8" w:themeColor="accent5" w:themeTint="66"/>
          <w:sz w:val="24"/>
          <w:szCs w:val="24"/>
        </w:rPr>
      </w:pPr>
      <w:r w:rsidRPr="00184A96">
        <w:rPr>
          <w:rFonts w:eastAsiaTheme="majorEastAsia" w:cstheme="majorBidi"/>
          <w:b/>
          <w:iCs/>
          <w:color w:val="B6DDE8" w:themeColor="accent5" w:themeTint="66"/>
          <w:sz w:val="24"/>
          <w:szCs w:val="24"/>
        </w:rPr>
        <w:t xml:space="preserve">The achievement standards pathway </w:t>
      </w:r>
    </w:p>
    <w:p w:rsidR="00F52685" w:rsidRDefault="00F52685" w:rsidP="00AD0EBD">
      <w:pPr>
        <w:spacing w:after="0" w:line="360" w:lineRule="auto"/>
        <w:ind w:left="680"/>
        <w:rPr>
          <w:rFonts w:eastAsiaTheme="majorEastAsia" w:cstheme="majorBidi"/>
          <w:iCs/>
        </w:rPr>
      </w:pPr>
    </w:p>
    <w:p w:rsidR="00ED180D" w:rsidRDefault="00F52685" w:rsidP="00AD0EBD">
      <w:pPr>
        <w:spacing w:after="0" w:line="360" w:lineRule="auto"/>
        <w:ind w:left="680"/>
        <w:rPr>
          <w:rFonts w:eastAsiaTheme="majorEastAsia" w:cstheme="majorBidi"/>
          <w:iCs/>
        </w:rPr>
      </w:pPr>
      <w:r>
        <w:rPr>
          <w:rFonts w:eastAsiaTheme="majorEastAsia" w:cstheme="majorBidi"/>
          <w:iCs/>
        </w:rPr>
        <w:t>T</w:t>
      </w:r>
      <w:r w:rsidR="00ED180D">
        <w:rPr>
          <w:rFonts w:eastAsiaTheme="majorEastAsia" w:cstheme="majorBidi"/>
          <w:iCs/>
        </w:rPr>
        <w:t xml:space="preserve">here are close to 160 achievement standards across 32 subjects that generate literacy credits. </w:t>
      </w:r>
    </w:p>
    <w:p w:rsidR="00ED180D" w:rsidRDefault="00AD0EBD" w:rsidP="00ED180D">
      <w:pPr>
        <w:spacing w:after="0" w:line="360" w:lineRule="auto"/>
        <w:ind w:left="680"/>
        <w:rPr>
          <w:rFonts w:eastAsiaTheme="majorEastAsia" w:cstheme="majorBidi"/>
          <w:iCs/>
        </w:rPr>
      </w:pPr>
      <w:r>
        <w:rPr>
          <w:rFonts w:eastAsiaTheme="majorEastAsia" w:cstheme="majorBidi"/>
          <w:iCs/>
        </w:rPr>
        <w:t>T</w:t>
      </w:r>
      <w:r w:rsidR="00ED180D">
        <w:rPr>
          <w:rFonts w:eastAsiaTheme="majorEastAsia" w:cstheme="majorBidi"/>
          <w:iCs/>
        </w:rPr>
        <w:t xml:space="preserve">his means that most students will gain literacy without any extra assessment, as they gain credits in a range of subjects throughout the year.  </w:t>
      </w:r>
    </w:p>
    <w:p w:rsidR="00B776A1" w:rsidRDefault="00B776A1" w:rsidP="00ED180D">
      <w:pPr>
        <w:spacing w:after="0" w:line="360" w:lineRule="auto"/>
        <w:ind w:left="680"/>
        <w:rPr>
          <w:rFonts w:eastAsiaTheme="majorEastAsia" w:cstheme="majorBidi"/>
          <w:iCs/>
        </w:rPr>
      </w:pPr>
    </w:p>
    <w:p w:rsidR="00F52685" w:rsidRPr="00F52685" w:rsidRDefault="00AD0EBD" w:rsidP="00F52685">
      <w:pPr>
        <w:pStyle w:val="ListParagraph"/>
        <w:numPr>
          <w:ilvl w:val="0"/>
          <w:numId w:val="2"/>
        </w:numPr>
        <w:spacing w:after="0" w:line="360" w:lineRule="auto"/>
        <w:rPr>
          <w:rFonts w:eastAsiaTheme="majorEastAsia" w:cstheme="majorBidi"/>
          <w:b/>
          <w:iCs/>
          <w:color w:val="92CDDC" w:themeColor="accent5" w:themeTint="99"/>
          <w:sz w:val="24"/>
          <w:szCs w:val="24"/>
        </w:rPr>
      </w:pPr>
      <w:r w:rsidRPr="00F52685">
        <w:rPr>
          <w:rFonts w:eastAsiaTheme="majorEastAsia" w:cstheme="majorBidi"/>
          <w:b/>
          <w:iCs/>
          <w:color w:val="92CDDC" w:themeColor="accent5" w:themeTint="99"/>
          <w:sz w:val="24"/>
          <w:szCs w:val="24"/>
        </w:rPr>
        <w:t>The literacy unit standards pathway</w:t>
      </w:r>
    </w:p>
    <w:p w:rsidR="00F52685" w:rsidRDefault="00F52685" w:rsidP="00AD0EBD">
      <w:pPr>
        <w:ind w:left="680"/>
        <w:rPr>
          <w:rFonts w:cs="Arial"/>
          <w:szCs w:val="24"/>
        </w:rPr>
      </w:pPr>
    </w:p>
    <w:p w:rsidR="00AD0EBD" w:rsidRDefault="00AD0EBD" w:rsidP="00AD0EBD">
      <w:pPr>
        <w:ind w:left="680"/>
        <w:rPr>
          <w:rFonts w:cs="Arial"/>
          <w:szCs w:val="24"/>
          <w:lang w:eastAsia="en-GB"/>
        </w:rPr>
      </w:pPr>
      <w:r>
        <w:rPr>
          <w:rFonts w:cs="Arial"/>
          <w:szCs w:val="24"/>
        </w:rPr>
        <w:t xml:space="preserve">These standards were designed for use in secondary, tertiary and industry settings. They define </w:t>
      </w:r>
      <w:r w:rsidRPr="000D5B8A">
        <w:rPr>
          <w:rFonts w:cs="Arial"/>
          <w:szCs w:val="24"/>
        </w:rPr>
        <w:t xml:space="preserve">literacy </w:t>
      </w:r>
      <w:r w:rsidRPr="00B41CC4">
        <w:rPr>
          <w:rFonts w:cs="Arial"/>
          <w:szCs w:val="24"/>
        </w:rPr>
        <w:t xml:space="preserve"> as: </w:t>
      </w:r>
      <w:r>
        <w:rPr>
          <w:rFonts w:cs="Arial"/>
          <w:szCs w:val="24"/>
        </w:rPr>
        <w:t>“</w:t>
      </w:r>
      <w:r w:rsidRPr="00184A96">
        <w:rPr>
          <w:rFonts w:cs="Arial"/>
          <w:i/>
          <w:szCs w:val="24"/>
        </w:rPr>
        <w:t xml:space="preserve">the </w:t>
      </w:r>
      <w:r w:rsidRPr="00184A96">
        <w:rPr>
          <w:rFonts w:cs="Arial"/>
          <w:i/>
          <w:szCs w:val="24"/>
          <w:lang w:eastAsia="en-GB"/>
        </w:rPr>
        <w:t>written and oral language people use in their everyday life, learning and work.  It includes reading, writing, speaking, and listening.  Skills in this area are essential for good communication, active participation, critical thinking and problem solving</w:t>
      </w:r>
      <w:r w:rsidRPr="00B41CC4">
        <w:rPr>
          <w:rFonts w:cs="Arial"/>
          <w:szCs w:val="24"/>
          <w:lang w:eastAsia="en-GB"/>
        </w:rPr>
        <w:t>.</w:t>
      </w:r>
      <w:r>
        <w:rPr>
          <w:rFonts w:cs="Arial"/>
          <w:szCs w:val="24"/>
          <w:lang w:eastAsia="en-GB"/>
        </w:rPr>
        <w:t>”  They are intended to attest to students’ ability to function in society. For this reason they are aligned to the</w:t>
      </w:r>
      <w:r w:rsidRPr="00184A96">
        <w:rPr>
          <w:rFonts w:cs="Arial"/>
          <w:b/>
          <w:szCs w:val="24"/>
          <w:lang w:eastAsia="en-GB"/>
        </w:rPr>
        <w:t xml:space="preserve"> Learning Progressions for Adult Literacy </w:t>
      </w:r>
      <w:r>
        <w:rPr>
          <w:rFonts w:cs="Arial"/>
          <w:szCs w:val="24"/>
          <w:lang w:eastAsia="en-GB"/>
        </w:rPr>
        <w:t xml:space="preserve">[koru/level 4]. </w:t>
      </w:r>
    </w:p>
    <w:p w:rsidR="00184A96" w:rsidRPr="00184A96" w:rsidRDefault="00690538" w:rsidP="00184A96">
      <w:pPr>
        <w:pStyle w:val="ListParagraph"/>
        <w:rPr>
          <w:lang w:val="en-NZ"/>
        </w:rPr>
      </w:pPr>
      <w:hyperlink r:id="rId6" w:history="1">
        <w:r w:rsidR="00184A96" w:rsidRPr="009417DF">
          <w:rPr>
            <w:rStyle w:val="Hyperlink"/>
            <w:lang w:val="en-NZ"/>
          </w:rPr>
          <w:t>http://www.tec.govt.nz/Documents/Publications/Learning-progressions-literacy.pdf</w:t>
        </w:r>
      </w:hyperlink>
    </w:p>
    <w:p w:rsidR="00AD0EBD" w:rsidRDefault="00AD0EBD" w:rsidP="00AD0EBD">
      <w:pPr>
        <w:tabs>
          <w:tab w:val="left" w:pos="567"/>
          <w:tab w:val="left" w:pos="1134"/>
          <w:tab w:val="left" w:pos="1417"/>
        </w:tabs>
        <w:spacing w:after="0"/>
        <w:ind w:left="680" w:hanging="567"/>
        <w:rPr>
          <w:rFonts w:eastAsiaTheme="majorEastAsia" w:cstheme="majorBidi"/>
          <w:iCs/>
        </w:rPr>
      </w:pPr>
      <w:r>
        <w:rPr>
          <w:rFonts w:eastAsiaTheme="majorEastAsia" w:cstheme="majorBidi"/>
          <w:iCs/>
        </w:rPr>
        <w:t xml:space="preserve">            In a school setting these standards are intended for </w:t>
      </w:r>
      <w:r w:rsidRPr="00184A96">
        <w:rPr>
          <w:rFonts w:eastAsiaTheme="majorEastAsia" w:cstheme="majorBidi"/>
          <w:b/>
          <w:iCs/>
        </w:rPr>
        <w:t>three main groups of year 11 students</w:t>
      </w:r>
      <w:r>
        <w:rPr>
          <w:rFonts w:eastAsiaTheme="majorEastAsia" w:cstheme="majorBidi"/>
          <w:iCs/>
        </w:rPr>
        <w:t xml:space="preserve">: those operating below level 6 of the curriculum; those who can work cognitively </w:t>
      </w:r>
      <w:r w:rsidR="00216003">
        <w:rPr>
          <w:rFonts w:eastAsiaTheme="majorEastAsia" w:cstheme="majorBidi"/>
          <w:iCs/>
        </w:rPr>
        <w:t>at level 6, but cannot yet</w:t>
      </w:r>
      <w:r>
        <w:rPr>
          <w:rFonts w:eastAsiaTheme="majorEastAsia" w:cstheme="majorBidi"/>
          <w:iCs/>
        </w:rPr>
        <w:t xml:space="preserve"> gain achievement standards because of the language demands; those whose subject choices provide them with insufficient opportunities</w:t>
      </w:r>
      <w:r w:rsidR="00216003">
        <w:rPr>
          <w:rFonts w:eastAsiaTheme="majorEastAsia" w:cstheme="majorBidi"/>
          <w:iCs/>
        </w:rPr>
        <w:t xml:space="preserve"> to achieve literacy through achievement standards.</w:t>
      </w:r>
      <w:r>
        <w:rPr>
          <w:rFonts w:eastAsiaTheme="majorEastAsia" w:cstheme="majorBidi"/>
          <w:iCs/>
        </w:rPr>
        <w:t xml:space="preserve"> </w:t>
      </w:r>
    </w:p>
    <w:p w:rsidR="00B776A1" w:rsidRDefault="00B776A1" w:rsidP="00AD0EBD">
      <w:pPr>
        <w:tabs>
          <w:tab w:val="left" w:pos="567"/>
          <w:tab w:val="left" w:pos="1134"/>
          <w:tab w:val="left" w:pos="1417"/>
        </w:tabs>
        <w:spacing w:after="0"/>
        <w:ind w:left="680" w:hanging="567"/>
        <w:rPr>
          <w:rFonts w:eastAsiaTheme="majorEastAsia" w:cstheme="majorBidi"/>
          <w:iCs/>
        </w:rPr>
      </w:pPr>
    </w:p>
    <w:p w:rsidR="00B776A1" w:rsidRDefault="00184A96" w:rsidP="00AD0EBD">
      <w:pPr>
        <w:tabs>
          <w:tab w:val="left" w:pos="567"/>
          <w:tab w:val="left" w:pos="1134"/>
          <w:tab w:val="left" w:pos="1417"/>
        </w:tabs>
        <w:spacing w:after="0"/>
        <w:ind w:left="680" w:hanging="567"/>
        <w:rPr>
          <w:b/>
          <w:color w:val="31849B" w:themeColor="accent5" w:themeShade="BF"/>
          <w:sz w:val="28"/>
          <w:szCs w:val="28"/>
          <w:lang w:val="en-NZ"/>
        </w:rPr>
      </w:pPr>
      <w:r>
        <w:rPr>
          <w:b/>
          <w:color w:val="31849B" w:themeColor="accent5" w:themeShade="BF"/>
          <w:sz w:val="28"/>
          <w:szCs w:val="28"/>
          <w:lang w:val="en-NZ"/>
        </w:rPr>
        <w:t xml:space="preserve">         </w:t>
      </w:r>
      <w:r w:rsidR="00B776A1" w:rsidRPr="00184A96">
        <w:rPr>
          <w:b/>
          <w:color w:val="31849B" w:themeColor="accent5" w:themeShade="BF"/>
          <w:sz w:val="28"/>
          <w:szCs w:val="28"/>
          <w:lang w:val="en-NZ"/>
        </w:rPr>
        <w:t>Planning and implementation – key issues identified by schools</w:t>
      </w:r>
    </w:p>
    <w:p w:rsidR="00F52685" w:rsidRPr="00184A96" w:rsidRDefault="00F52685" w:rsidP="00AD0EBD">
      <w:pPr>
        <w:tabs>
          <w:tab w:val="left" w:pos="567"/>
          <w:tab w:val="left" w:pos="1134"/>
          <w:tab w:val="left" w:pos="1417"/>
        </w:tabs>
        <w:spacing w:after="0"/>
        <w:ind w:left="680" w:hanging="567"/>
        <w:rPr>
          <w:b/>
          <w:color w:val="31849B" w:themeColor="accent5" w:themeShade="BF"/>
          <w:sz w:val="28"/>
          <w:szCs w:val="28"/>
          <w:lang w:val="en-NZ"/>
        </w:rPr>
      </w:pPr>
    </w:p>
    <w:p w:rsidR="00B776A1" w:rsidRPr="00F52685" w:rsidRDefault="00B776A1" w:rsidP="00AD0EBD">
      <w:pPr>
        <w:tabs>
          <w:tab w:val="left" w:pos="567"/>
          <w:tab w:val="left" w:pos="1134"/>
          <w:tab w:val="left" w:pos="1417"/>
        </w:tabs>
        <w:spacing w:after="0"/>
        <w:ind w:left="680" w:hanging="567"/>
        <w:rPr>
          <w:bCs/>
          <w:lang w:val="en-NZ"/>
        </w:rPr>
      </w:pPr>
      <w:r>
        <w:rPr>
          <w:rFonts w:eastAsiaTheme="majorEastAsia" w:cstheme="majorBidi"/>
          <w:iCs/>
        </w:rPr>
        <w:t xml:space="preserve">           </w:t>
      </w:r>
      <w:r w:rsidRPr="00184A96">
        <w:rPr>
          <w:b/>
          <w:bCs/>
          <w:lang w:val="en-NZ"/>
        </w:rPr>
        <w:t xml:space="preserve">Schools that started planning last year have generally managed the process better than those that did not.  </w:t>
      </w:r>
      <w:r w:rsidRPr="00F52685">
        <w:rPr>
          <w:bCs/>
          <w:lang w:val="en-NZ"/>
        </w:rPr>
        <w:t>The materials on the NZQA website [particularly the guidelines, decision making process and scenarios</w:t>
      </w:r>
      <w:proofErr w:type="gramStart"/>
      <w:r w:rsidRPr="00F52685">
        <w:rPr>
          <w:bCs/>
          <w:lang w:val="en-NZ"/>
        </w:rPr>
        <w:t>]  are</w:t>
      </w:r>
      <w:proofErr w:type="gramEnd"/>
      <w:r w:rsidRPr="00F52685">
        <w:rPr>
          <w:bCs/>
          <w:lang w:val="en-NZ"/>
        </w:rPr>
        <w:t xml:space="preserve"> helpful resources.</w:t>
      </w:r>
    </w:p>
    <w:p w:rsidR="00B776A1" w:rsidRDefault="00B776A1" w:rsidP="00AD0EBD">
      <w:pPr>
        <w:tabs>
          <w:tab w:val="left" w:pos="567"/>
          <w:tab w:val="left" w:pos="1134"/>
          <w:tab w:val="left" w:pos="1417"/>
        </w:tabs>
        <w:spacing w:after="0"/>
        <w:ind w:left="680" w:hanging="567"/>
        <w:rPr>
          <w:rFonts w:eastAsiaTheme="majorEastAsia" w:cstheme="majorBidi"/>
          <w:iCs/>
        </w:rPr>
      </w:pPr>
      <w:r>
        <w:rPr>
          <w:rFonts w:eastAsiaTheme="majorEastAsia" w:cstheme="majorBidi"/>
          <w:iCs/>
        </w:rPr>
        <w:t xml:space="preserve">            </w:t>
      </w:r>
      <w:hyperlink r:id="rId7" w:history="1">
        <w:r w:rsidRPr="00023554">
          <w:rPr>
            <w:rStyle w:val="Hyperlink"/>
            <w:rFonts w:eastAsiaTheme="majorEastAsia" w:cstheme="majorBidi"/>
            <w:iCs/>
          </w:rPr>
          <w:t>http://www.nzqa.govt.nz/qualifications-standards/qualifications/ncea/subjects/literacy-and-numeracy-level-1/information-and-resources-for-planning-and-implementation/</w:t>
        </w:r>
      </w:hyperlink>
    </w:p>
    <w:p w:rsidR="00B776A1" w:rsidRDefault="00B776A1" w:rsidP="00AD0EBD">
      <w:pPr>
        <w:tabs>
          <w:tab w:val="left" w:pos="567"/>
          <w:tab w:val="left" w:pos="1134"/>
          <w:tab w:val="left" w:pos="1417"/>
        </w:tabs>
        <w:spacing w:after="0"/>
        <w:ind w:left="680" w:hanging="567"/>
        <w:rPr>
          <w:rFonts w:eastAsiaTheme="majorEastAsia" w:cstheme="majorBidi"/>
          <w:iCs/>
        </w:rPr>
      </w:pPr>
    </w:p>
    <w:p w:rsidR="00B776A1" w:rsidRPr="008A3BFA" w:rsidRDefault="00B776A1" w:rsidP="00B776A1">
      <w:pPr>
        <w:pStyle w:val="ListParagraph"/>
        <w:numPr>
          <w:ilvl w:val="0"/>
          <w:numId w:val="3"/>
        </w:numPr>
        <w:ind w:left="1587"/>
        <w:rPr>
          <w:b/>
          <w:bCs/>
          <w:color w:val="92CDDC" w:themeColor="accent5" w:themeTint="99"/>
          <w:sz w:val="24"/>
          <w:szCs w:val="24"/>
          <w:lang w:val="en-NZ"/>
        </w:rPr>
      </w:pPr>
      <w:r w:rsidRPr="008A3BFA">
        <w:rPr>
          <w:b/>
          <w:bCs/>
          <w:color w:val="92CDDC" w:themeColor="accent5" w:themeTint="99"/>
          <w:sz w:val="24"/>
          <w:szCs w:val="24"/>
          <w:lang w:val="en-NZ"/>
        </w:rPr>
        <w:t xml:space="preserve">Gathering the evidence </w:t>
      </w:r>
    </w:p>
    <w:p w:rsidR="00B776A1" w:rsidRDefault="00B776A1" w:rsidP="00B776A1">
      <w:pPr>
        <w:pStyle w:val="ListParagraph"/>
        <w:ind w:left="1587"/>
        <w:rPr>
          <w:bCs/>
          <w:lang w:val="en-NZ"/>
        </w:rPr>
      </w:pPr>
      <w:r w:rsidRPr="003F6BD0">
        <w:rPr>
          <w:rFonts w:cs="Arial"/>
          <w:szCs w:val="24"/>
        </w:rPr>
        <w:t>The eviden</w:t>
      </w:r>
      <w:r w:rsidR="00184A96">
        <w:rPr>
          <w:rFonts w:cs="Arial"/>
          <w:szCs w:val="24"/>
        </w:rPr>
        <w:t xml:space="preserve">ce gathered </w:t>
      </w:r>
      <w:r w:rsidRPr="003F6BD0">
        <w:rPr>
          <w:rFonts w:cs="Arial"/>
          <w:szCs w:val="24"/>
        </w:rPr>
        <w:t>should be ‘</w:t>
      </w:r>
      <w:r w:rsidRPr="003F6BD0">
        <w:rPr>
          <w:rFonts w:cs="Arial"/>
          <w:b/>
          <w:szCs w:val="24"/>
        </w:rPr>
        <w:t>naturally occurring’</w:t>
      </w:r>
      <w:r w:rsidRPr="003F6BD0">
        <w:rPr>
          <w:rFonts w:cs="Arial"/>
          <w:szCs w:val="24"/>
        </w:rPr>
        <w:t xml:space="preserve"> i.e. collected from a range of </w:t>
      </w:r>
      <w:r w:rsidRPr="003F6BD0">
        <w:rPr>
          <w:rFonts w:cs="Arial"/>
          <w:b/>
          <w:szCs w:val="24"/>
        </w:rPr>
        <w:t xml:space="preserve">real </w:t>
      </w:r>
      <w:r w:rsidRPr="003F6BD0">
        <w:rPr>
          <w:rFonts w:cs="Arial"/>
          <w:szCs w:val="24"/>
        </w:rPr>
        <w:t xml:space="preserve">contexts and gathered over a </w:t>
      </w:r>
      <w:r w:rsidRPr="003F6BD0">
        <w:rPr>
          <w:rFonts w:cs="Arial"/>
          <w:b/>
          <w:szCs w:val="24"/>
        </w:rPr>
        <w:t>period of time</w:t>
      </w:r>
      <w:r w:rsidRPr="003F6BD0">
        <w:rPr>
          <w:rFonts w:cs="Arial"/>
          <w:szCs w:val="24"/>
        </w:rPr>
        <w:t xml:space="preserve">.  </w:t>
      </w:r>
      <w:r>
        <w:rPr>
          <w:rFonts w:cs="Arial"/>
          <w:szCs w:val="24"/>
        </w:rPr>
        <w:t xml:space="preserve">The contexts could be learning experiences within and outside the classroom, or other aspects of students’ lives. The standards are intended to be </w:t>
      </w:r>
      <w:r w:rsidRPr="00F52685">
        <w:rPr>
          <w:rFonts w:cs="Arial"/>
          <w:b/>
          <w:szCs w:val="24"/>
        </w:rPr>
        <w:t>cross-curricular</w:t>
      </w:r>
      <w:r>
        <w:rPr>
          <w:rFonts w:cs="Arial"/>
          <w:szCs w:val="24"/>
        </w:rPr>
        <w:t>, but this is not mandatory</w:t>
      </w:r>
      <w:r>
        <w:rPr>
          <w:bCs/>
          <w:lang w:val="en-NZ"/>
        </w:rPr>
        <w:t xml:space="preserve">. Some schools </w:t>
      </w:r>
      <w:r>
        <w:rPr>
          <w:bCs/>
          <w:lang w:val="en-NZ"/>
        </w:rPr>
        <w:lastRenderedPageBreak/>
        <w:t xml:space="preserve">have therefore opted to keep the assessment of these standards within English and ESOL programmes.  </w:t>
      </w:r>
    </w:p>
    <w:p w:rsidR="00F52685" w:rsidRDefault="00F52685" w:rsidP="00B776A1">
      <w:pPr>
        <w:pStyle w:val="ListParagraph"/>
        <w:ind w:left="1587"/>
        <w:rPr>
          <w:bCs/>
          <w:lang w:val="en-NZ"/>
        </w:rPr>
      </w:pPr>
    </w:p>
    <w:p w:rsidR="00B776A1" w:rsidRDefault="00B776A1" w:rsidP="00B776A1">
      <w:pPr>
        <w:pStyle w:val="ListParagraph"/>
        <w:ind w:left="1587"/>
        <w:rPr>
          <w:bCs/>
          <w:lang w:val="en-NZ"/>
        </w:rPr>
      </w:pPr>
      <w:r>
        <w:rPr>
          <w:bCs/>
          <w:lang w:val="en-NZ"/>
        </w:rPr>
        <w:t xml:space="preserve">In </w:t>
      </w:r>
      <w:r w:rsidR="00F52685">
        <w:rPr>
          <w:bCs/>
          <w:lang w:val="en-NZ"/>
        </w:rPr>
        <w:t>the spirit of the standards other</w:t>
      </w:r>
      <w:r w:rsidR="000D5B8A">
        <w:rPr>
          <w:bCs/>
          <w:lang w:val="en-NZ"/>
        </w:rPr>
        <w:t xml:space="preserve"> schools have gathered </w:t>
      </w:r>
      <w:r w:rsidRPr="00F52685">
        <w:rPr>
          <w:b/>
          <w:bCs/>
          <w:lang w:val="en-NZ"/>
        </w:rPr>
        <w:t xml:space="preserve">evidence across </w:t>
      </w:r>
      <w:r w:rsidR="00F52685" w:rsidRPr="00F52685">
        <w:rPr>
          <w:b/>
          <w:bCs/>
          <w:lang w:val="en-NZ"/>
        </w:rPr>
        <w:t xml:space="preserve">learning areas </w:t>
      </w:r>
      <w:r w:rsidR="00F52685">
        <w:rPr>
          <w:bCs/>
          <w:lang w:val="en-NZ"/>
        </w:rPr>
        <w:t xml:space="preserve">using one of three main approaches. </w:t>
      </w:r>
    </w:p>
    <w:p w:rsidR="00B776A1" w:rsidRDefault="00F52685" w:rsidP="00B776A1">
      <w:pPr>
        <w:pStyle w:val="ListParagraph"/>
        <w:numPr>
          <w:ilvl w:val="0"/>
          <w:numId w:val="5"/>
        </w:numPr>
        <w:ind w:left="1928"/>
        <w:rPr>
          <w:bCs/>
          <w:lang w:val="en-NZ"/>
        </w:rPr>
      </w:pPr>
      <w:r>
        <w:rPr>
          <w:bCs/>
          <w:lang w:val="en-NZ"/>
        </w:rPr>
        <w:t>A</w:t>
      </w:r>
      <w:r w:rsidR="00B776A1">
        <w:rPr>
          <w:bCs/>
          <w:lang w:val="en-NZ"/>
        </w:rPr>
        <w:t xml:space="preserve">ll learning areas are involved. </w:t>
      </w:r>
    </w:p>
    <w:p w:rsidR="00B776A1" w:rsidRPr="00B571E3" w:rsidRDefault="00B776A1" w:rsidP="00B776A1">
      <w:pPr>
        <w:pStyle w:val="ListParagraph"/>
        <w:numPr>
          <w:ilvl w:val="0"/>
          <w:numId w:val="5"/>
        </w:numPr>
        <w:ind w:left="1928"/>
        <w:rPr>
          <w:bCs/>
          <w:lang w:val="en-NZ"/>
        </w:rPr>
      </w:pPr>
      <w:r>
        <w:rPr>
          <w:bCs/>
          <w:lang w:val="en-NZ"/>
        </w:rPr>
        <w:t>Students who probably need the literacy unit standards pathway were identified, and some or all of their teachers have been collecting evidence.</w:t>
      </w:r>
    </w:p>
    <w:p w:rsidR="00B776A1" w:rsidRDefault="00B776A1" w:rsidP="00B776A1">
      <w:pPr>
        <w:pStyle w:val="ListParagraph"/>
        <w:numPr>
          <w:ilvl w:val="0"/>
          <w:numId w:val="5"/>
        </w:numPr>
        <w:ind w:left="1928"/>
        <w:rPr>
          <w:bCs/>
          <w:lang w:val="en-NZ"/>
        </w:rPr>
      </w:pPr>
      <w:r>
        <w:rPr>
          <w:bCs/>
          <w:lang w:val="en-NZ"/>
        </w:rPr>
        <w:t xml:space="preserve">Teachers/departments considered to be receptive have been shoulder tapped to be part of a trial this year. </w:t>
      </w:r>
    </w:p>
    <w:p w:rsidR="00B776A1" w:rsidRDefault="00B776A1" w:rsidP="00B776A1">
      <w:pPr>
        <w:pStyle w:val="ListParagraph"/>
        <w:ind w:left="1757"/>
        <w:rPr>
          <w:bCs/>
          <w:lang w:val="en-NZ"/>
        </w:rPr>
      </w:pPr>
    </w:p>
    <w:p w:rsidR="00B776A1" w:rsidRPr="00B571E3" w:rsidRDefault="00B776A1" w:rsidP="00B776A1">
      <w:pPr>
        <w:pStyle w:val="ListParagraph"/>
        <w:ind w:left="1587"/>
        <w:rPr>
          <w:bCs/>
          <w:lang w:val="en-NZ"/>
        </w:rPr>
      </w:pPr>
      <w:r>
        <w:rPr>
          <w:bCs/>
          <w:lang w:val="en-NZ"/>
        </w:rPr>
        <w:t xml:space="preserve">Schools </w:t>
      </w:r>
      <w:r w:rsidRPr="00B571E3">
        <w:rPr>
          <w:bCs/>
          <w:lang w:val="en-NZ"/>
        </w:rPr>
        <w:t>have sometimes struggled to collect this ‘</w:t>
      </w:r>
      <w:r w:rsidRPr="00F52685">
        <w:rPr>
          <w:b/>
          <w:bCs/>
          <w:lang w:val="en-NZ"/>
        </w:rPr>
        <w:t>naturally occurring’</w:t>
      </w:r>
      <w:r>
        <w:rPr>
          <w:bCs/>
          <w:lang w:val="en-NZ"/>
        </w:rPr>
        <w:t xml:space="preserve"> evidence from teachers across learning areas. </w:t>
      </w:r>
      <w:r w:rsidRPr="00B571E3">
        <w:rPr>
          <w:bCs/>
          <w:lang w:val="en-NZ"/>
        </w:rPr>
        <w:t>There are se</w:t>
      </w:r>
      <w:r>
        <w:rPr>
          <w:bCs/>
          <w:lang w:val="en-NZ"/>
        </w:rPr>
        <w:t>veral possible reasons for this.</w:t>
      </w:r>
    </w:p>
    <w:p w:rsidR="00B776A1" w:rsidRDefault="00B776A1" w:rsidP="00216003">
      <w:pPr>
        <w:pStyle w:val="ListParagraph"/>
        <w:numPr>
          <w:ilvl w:val="0"/>
          <w:numId w:val="4"/>
        </w:numPr>
        <w:ind w:left="1928"/>
        <w:rPr>
          <w:bCs/>
          <w:lang w:val="en-NZ"/>
        </w:rPr>
      </w:pPr>
      <w:r>
        <w:rPr>
          <w:bCs/>
          <w:lang w:val="en-NZ"/>
        </w:rPr>
        <w:t xml:space="preserve">Some teachers do not recognise the </w:t>
      </w:r>
      <w:r w:rsidRPr="00F52685">
        <w:rPr>
          <w:b/>
          <w:bCs/>
          <w:lang w:val="en-NZ"/>
        </w:rPr>
        <w:t>implicit literacy teaching and learning</w:t>
      </w:r>
      <w:r>
        <w:rPr>
          <w:bCs/>
          <w:lang w:val="en-NZ"/>
        </w:rPr>
        <w:t xml:space="preserve"> that takes place in their classrooms.  </w:t>
      </w:r>
    </w:p>
    <w:p w:rsidR="00B776A1" w:rsidRDefault="00B776A1" w:rsidP="00216003">
      <w:pPr>
        <w:pStyle w:val="ListParagraph"/>
        <w:numPr>
          <w:ilvl w:val="0"/>
          <w:numId w:val="4"/>
        </w:numPr>
        <w:ind w:left="1928"/>
        <w:rPr>
          <w:bCs/>
          <w:lang w:val="en-NZ"/>
        </w:rPr>
      </w:pPr>
      <w:r>
        <w:rPr>
          <w:bCs/>
          <w:lang w:val="en-NZ"/>
        </w:rPr>
        <w:t xml:space="preserve">Teachers </w:t>
      </w:r>
      <w:r w:rsidRPr="008A3BFA">
        <w:rPr>
          <w:b/>
          <w:bCs/>
          <w:lang w:val="en-NZ"/>
        </w:rPr>
        <w:t>do not have sufficient knowledge</w:t>
      </w:r>
      <w:r w:rsidR="008A3BFA">
        <w:rPr>
          <w:bCs/>
          <w:lang w:val="en-NZ"/>
        </w:rPr>
        <w:t xml:space="preserve"> of the </w:t>
      </w:r>
      <w:r>
        <w:rPr>
          <w:bCs/>
          <w:lang w:val="en-NZ"/>
        </w:rPr>
        <w:t>intent of the standards, and therefore do not know what student work is appropriate.</w:t>
      </w:r>
    </w:p>
    <w:p w:rsidR="00B776A1" w:rsidRDefault="00B776A1" w:rsidP="00216003">
      <w:pPr>
        <w:pStyle w:val="ListParagraph"/>
        <w:numPr>
          <w:ilvl w:val="0"/>
          <w:numId w:val="4"/>
        </w:numPr>
        <w:ind w:left="1928"/>
        <w:rPr>
          <w:bCs/>
          <w:lang w:val="en-NZ"/>
        </w:rPr>
      </w:pPr>
      <w:r>
        <w:rPr>
          <w:bCs/>
          <w:lang w:val="en-NZ"/>
        </w:rPr>
        <w:t xml:space="preserve">The evidence may occur naturally [e.g. carrying out instructions that show they have understood a text], but this </w:t>
      </w:r>
      <w:r w:rsidRPr="008A3BFA">
        <w:rPr>
          <w:b/>
          <w:bCs/>
          <w:lang w:val="en-NZ"/>
        </w:rPr>
        <w:t>evidence is not formally collected</w:t>
      </w:r>
      <w:r>
        <w:rPr>
          <w:bCs/>
          <w:lang w:val="en-NZ"/>
        </w:rPr>
        <w:t xml:space="preserve">.  This is particularly true for the oral interactions standard. </w:t>
      </w:r>
    </w:p>
    <w:p w:rsidR="00F52685" w:rsidRDefault="00F52685" w:rsidP="00F52685">
      <w:pPr>
        <w:pStyle w:val="ListParagraph"/>
        <w:ind w:left="2098"/>
        <w:rPr>
          <w:bCs/>
          <w:lang w:val="en-NZ"/>
        </w:rPr>
      </w:pPr>
    </w:p>
    <w:p w:rsidR="00B776A1" w:rsidRDefault="00B776A1" w:rsidP="00B776A1">
      <w:pPr>
        <w:pStyle w:val="ListParagraph"/>
        <w:numPr>
          <w:ilvl w:val="0"/>
          <w:numId w:val="3"/>
        </w:numPr>
        <w:ind w:left="1587"/>
        <w:rPr>
          <w:b/>
          <w:bCs/>
          <w:color w:val="92CDDC" w:themeColor="accent5" w:themeTint="99"/>
          <w:sz w:val="24"/>
          <w:szCs w:val="24"/>
          <w:lang w:val="en-NZ"/>
        </w:rPr>
      </w:pPr>
      <w:r w:rsidRPr="008A3BFA">
        <w:rPr>
          <w:b/>
          <w:bCs/>
          <w:color w:val="92CDDC" w:themeColor="accent5" w:themeTint="99"/>
          <w:sz w:val="24"/>
          <w:szCs w:val="24"/>
          <w:lang w:val="en-NZ"/>
        </w:rPr>
        <w:t>Storage of evidence</w:t>
      </w:r>
    </w:p>
    <w:p w:rsidR="00995E7B" w:rsidRPr="008A3BFA" w:rsidRDefault="00995E7B" w:rsidP="00995E7B">
      <w:pPr>
        <w:pStyle w:val="ListParagraph"/>
        <w:ind w:left="1587"/>
        <w:rPr>
          <w:b/>
          <w:bCs/>
          <w:color w:val="92CDDC" w:themeColor="accent5" w:themeTint="99"/>
          <w:sz w:val="24"/>
          <w:szCs w:val="24"/>
          <w:lang w:val="en-NZ"/>
        </w:rPr>
      </w:pPr>
    </w:p>
    <w:p w:rsidR="00B776A1" w:rsidRDefault="00B776A1" w:rsidP="00B776A1">
      <w:pPr>
        <w:pStyle w:val="ListParagraph"/>
        <w:ind w:left="1587"/>
        <w:rPr>
          <w:bCs/>
          <w:lang w:val="en-NZ"/>
        </w:rPr>
      </w:pPr>
      <w:r w:rsidRPr="008A3BFA">
        <w:rPr>
          <w:b/>
          <w:bCs/>
          <w:lang w:val="en-NZ"/>
        </w:rPr>
        <w:t>Portfolios</w:t>
      </w:r>
      <w:r>
        <w:rPr>
          <w:bCs/>
          <w:lang w:val="en-NZ"/>
        </w:rPr>
        <w:t xml:space="preserve"> are commonly used and held in one central storage place.  Some schools are trialling the use of </w:t>
      </w:r>
      <w:r w:rsidRPr="0098376E">
        <w:rPr>
          <w:b/>
          <w:bCs/>
          <w:lang w:val="en-NZ"/>
        </w:rPr>
        <w:t>electronic</w:t>
      </w:r>
      <w:r>
        <w:rPr>
          <w:bCs/>
          <w:lang w:val="en-NZ"/>
        </w:rPr>
        <w:t xml:space="preserve"> systems, such as </w:t>
      </w:r>
      <w:proofErr w:type="spellStart"/>
      <w:r>
        <w:rPr>
          <w:bCs/>
          <w:lang w:val="en-NZ"/>
        </w:rPr>
        <w:t>Moodle</w:t>
      </w:r>
      <w:proofErr w:type="spellEnd"/>
      <w:r>
        <w:rPr>
          <w:bCs/>
          <w:lang w:val="en-NZ"/>
        </w:rPr>
        <w:t xml:space="preserve">, to create a paperless system. </w:t>
      </w:r>
    </w:p>
    <w:p w:rsidR="00B776A1" w:rsidRPr="008A3BFA" w:rsidRDefault="00B776A1" w:rsidP="008A3BFA">
      <w:pPr>
        <w:pStyle w:val="ListParagraph"/>
        <w:ind w:left="1587"/>
        <w:rPr>
          <w:bCs/>
          <w:lang w:val="en-NZ"/>
        </w:rPr>
      </w:pPr>
      <w:r>
        <w:rPr>
          <w:bCs/>
          <w:lang w:val="en-NZ"/>
        </w:rPr>
        <w:t>Gathering and storing evidence for the oral interaction standard has prov</w:t>
      </w:r>
      <w:r w:rsidR="008A3BFA">
        <w:rPr>
          <w:bCs/>
          <w:lang w:val="en-NZ"/>
        </w:rPr>
        <w:t>ed challenging</w:t>
      </w:r>
      <w:r>
        <w:rPr>
          <w:bCs/>
          <w:lang w:val="en-NZ"/>
        </w:rPr>
        <w:t xml:space="preserve">.  </w:t>
      </w:r>
      <w:r w:rsidR="008A3BFA" w:rsidRPr="008A3BFA">
        <w:rPr>
          <w:bCs/>
          <w:lang w:val="en-NZ"/>
        </w:rPr>
        <w:t>Many schools have found it easier to record evidence e</w:t>
      </w:r>
      <w:r w:rsidR="007F6239">
        <w:rPr>
          <w:bCs/>
          <w:lang w:val="en-NZ"/>
        </w:rPr>
        <w:t>lectronically, rather than keep</w:t>
      </w:r>
      <w:r w:rsidR="008A3BFA" w:rsidRPr="008A3BFA">
        <w:rPr>
          <w:bCs/>
          <w:lang w:val="en-NZ"/>
        </w:rPr>
        <w:t xml:space="preserve"> written evidence</w:t>
      </w:r>
      <w:r w:rsidR="003151B0">
        <w:rPr>
          <w:bCs/>
          <w:lang w:val="en-NZ"/>
        </w:rPr>
        <w:t>.</w:t>
      </w:r>
      <w:r w:rsidR="008A3BFA" w:rsidRPr="008A3BFA">
        <w:rPr>
          <w:bCs/>
          <w:lang w:val="en-NZ"/>
        </w:rPr>
        <w:t xml:space="preserve"> </w:t>
      </w:r>
      <w:r w:rsidR="0098376E">
        <w:rPr>
          <w:bCs/>
          <w:lang w:val="en-NZ"/>
        </w:rPr>
        <w:t xml:space="preserve"> The NZQA website has optional observation sheets for recording written samples of evidence, but schools have </w:t>
      </w:r>
      <w:r w:rsidR="003151B0">
        <w:rPr>
          <w:bCs/>
          <w:lang w:val="en-NZ"/>
        </w:rPr>
        <w:t xml:space="preserve">generally found these difficult to use. </w:t>
      </w:r>
    </w:p>
    <w:p w:rsidR="00B776A1" w:rsidRDefault="00B776A1" w:rsidP="00B776A1">
      <w:pPr>
        <w:pStyle w:val="ListParagraph"/>
        <w:ind w:left="1587"/>
        <w:rPr>
          <w:bCs/>
          <w:lang w:val="en-NZ"/>
        </w:rPr>
      </w:pPr>
    </w:p>
    <w:p w:rsidR="00B776A1" w:rsidRDefault="00B776A1" w:rsidP="00B776A1">
      <w:pPr>
        <w:pStyle w:val="ListParagraph"/>
        <w:numPr>
          <w:ilvl w:val="0"/>
          <w:numId w:val="3"/>
        </w:numPr>
        <w:ind w:left="1587"/>
        <w:rPr>
          <w:b/>
          <w:bCs/>
          <w:color w:val="92CDDC" w:themeColor="accent5" w:themeTint="99"/>
          <w:sz w:val="24"/>
          <w:szCs w:val="24"/>
          <w:lang w:val="en-NZ"/>
        </w:rPr>
      </w:pPr>
      <w:r w:rsidRPr="0098376E">
        <w:rPr>
          <w:b/>
          <w:bCs/>
          <w:color w:val="92CDDC" w:themeColor="accent5" w:themeTint="99"/>
          <w:sz w:val="24"/>
          <w:szCs w:val="24"/>
          <w:lang w:val="en-NZ"/>
        </w:rPr>
        <w:t>Assessment and moderation</w:t>
      </w:r>
    </w:p>
    <w:p w:rsidR="00995E7B" w:rsidRPr="0098376E" w:rsidRDefault="00995E7B" w:rsidP="00995E7B">
      <w:pPr>
        <w:pStyle w:val="ListParagraph"/>
        <w:ind w:left="1587"/>
        <w:rPr>
          <w:b/>
          <w:bCs/>
          <w:color w:val="92CDDC" w:themeColor="accent5" w:themeTint="99"/>
          <w:sz w:val="24"/>
          <w:szCs w:val="24"/>
          <w:lang w:val="en-NZ"/>
        </w:rPr>
      </w:pPr>
    </w:p>
    <w:p w:rsidR="0098376E" w:rsidRDefault="00B776A1" w:rsidP="0098376E">
      <w:pPr>
        <w:pStyle w:val="ListParagraph"/>
        <w:ind w:left="1587"/>
        <w:rPr>
          <w:bCs/>
          <w:lang w:val="en-NZ"/>
        </w:rPr>
      </w:pPr>
      <w:r>
        <w:rPr>
          <w:bCs/>
          <w:lang w:val="en-NZ"/>
        </w:rPr>
        <w:t xml:space="preserve"> As the work is assessed </w:t>
      </w:r>
      <w:r w:rsidRPr="0098376E">
        <w:rPr>
          <w:b/>
          <w:bCs/>
          <w:lang w:val="en-NZ"/>
        </w:rPr>
        <w:t>holistically</w:t>
      </w:r>
      <w:r>
        <w:rPr>
          <w:bCs/>
          <w:lang w:val="en-NZ"/>
        </w:rPr>
        <w:t>, it makes no sense to asses</w:t>
      </w:r>
      <w:r w:rsidR="0098376E">
        <w:rPr>
          <w:bCs/>
          <w:lang w:val="en-NZ"/>
        </w:rPr>
        <w:t>s each piece of work as it is gathered. However, portfolios need to be</w:t>
      </w:r>
      <w:r>
        <w:rPr>
          <w:bCs/>
          <w:lang w:val="en-NZ"/>
        </w:rPr>
        <w:t xml:space="preserve"> checked regularly for </w:t>
      </w:r>
      <w:r w:rsidRPr="0098376E">
        <w:rPr>
          <w:b/>
          <w:bCs/>
          <w:lang w:val="en-NZ"/>
        </w:rPr>
        <w:t>quality and quantity of evidence</w:t>
      </w:r>
      <w:r>
        <w:rPr>
          <w:bCs/>
          <w:lang w:val="en-NZ"/>
        </w:rPr>
        <w:t xml:space="preserve">. </w:t>
      </w:r>
      <w:r w:rsidR="0098376E">
        <w:rPr>
          <w:bCs/>
          <w:lang w:val="en-NZ"/>
        </w:rPr>
        <w:t xml:space="preserve">In most cases schools are planning for a single person, or a small group, to do the summative assessment. </w:t>
      </w:r>
    </w:p>
    <w:p w:rsidR="00995E7B" w:rsidRPr="00995E7B" w:rsidRDefault="00B776A1" w:rsidP="00995E7B">
      <w:pPr>
        <w:pStyle w:val="ListParagraph"/>
        <w:ind w:left="1587"/>
        <w:rPr>
          <w:bCs/>
          <w:lang w:val="en-NZ"/>
        </w:rPr>
      </w:pPr>
      <w:r>
        <w:rPr>
          <w:bCs/>
          <w:lang w:val="en-NZ"/>
        </w:rPr>
        <w:t xml:space="preserve">To date NZQA has provided a limited number of </w:t>
      </w:r>
      <w:r w:rsidRPr="00995E7B">
        <w:rPr>
          <w:b/>
          <w:bCs/>
          <w:lang w:val="en-NZ"/>
        </w:rPr>
        <w:t>annotated exemplars</w:t>
      </w:r>
      <w:r>
        <w:rPr>
          <w:bCs/>
          <w:lang w:val="en-NZ"/>
        </w:rPr>
        <w:t xml:space="preserve"> to indicate where the not achieve</w:t>
      </w:r>
      <w:r w:rsidR="00995E7B">
        <w:rPr>
          <w:bCs/>
          <w:lang w:val="en-NZ"/>
        </w:rPr>
        <w:t xml:space="preserve">d/achieved boundaries lie. </w:t>
      </w:r>
      <w:r w:rsidR="00995E7B" w:rsidRPr="00995E7B">
        <w:rPr>
          <w:bCs/>
          <w:lang w:val="en-NZ"/>
        </w:rPr>
        <w:t>It is NZQA’s intention to publish more exemplar material, so schools will have more support in making assessment d</w:t>
      </w:r>
      <w:r w:rsidR="00995E7B">
        <w:rPr>
          <w:bCs/>
          <w:lang w:val="en-NZ"/>
        </w:rPr>
        <w:t xml:space="preserve">ecisions in 2012. </w:t>
      </w:r>
    </w:p>
    <w:p w:rsidR="00995E7B" w:rsidRDefault="00B776A1" w:rsidP="00995E7B">
      <w:pPr>
        <w:pStyle w:val="ListParagraph"/>
        <w:ind w:left="1587"/>
        <w:rPr>
          <w:bCs/>
          <w:lang w:val="en-NZ"/>
        </w:rPr>
      </w:pPr>
      <w:r>
        <w:rPr>
          <w:bCs/>
          <w:lang w:val="en-NZ"/>
        </w:rPr>
        <w:lastRenderedPageBreak/>
        <w:t xml:space="preserve">Schools have not been required to send materials away for external moderation this year, but </w:t>
      </w:r>
      <w:r w:rsidR="00995E7B">
        <w:rPr>
          <w:bCs/>
          <w:lang w:val="en-NZ"/>
        </w:rPr>
        <w:t>preparing materials for this will take time</w:t>
      </w:r>
      <w:r w:rsidR="007F6239">
        <w:rPr>
          <w:bCs/>
          <w:lang w:val="en-NZ"/>
        </w:rPr>
        <w:t>,</w:t>
      </w:r>
      <w:r w:rsidR="00995E7B">
        <w:rPr>
          <w:bCs/>
          <w:lang w:val="en-NZ"/>
        </w:rPr>
        <w:t xml:space="preserve"> </w:t>
      </w:r>
      <w:r w:rsidR="0012270B">
        <w:rPr>
          <w:bCs/>
          <w:lang w:val="en-NZ"/>
        </w:rPr>
        <w:t>and schools will find it</w:t>
      </w:r>
      <w:r w:rsidR="007F6239">
        <w:rPr>
          <w:bCs/>
          <w:lang w:val="en-NZ"/>
        </w:rPr>
        <w:t xml:space="preserve"> </w:t>
      </w:r>
      <w:r w:rsidR="00995E7B">
        <w:rPr>
          <w:bCs/>
          <w:lang w:val="en-NZ"/>
        </w:rPr>
        <w:t xml:space="preserve">difficult if they do </w:t>
      </w:r>
      <w:r w:rsidR="0012270B">
        <w:rPr>
          <w:bCs/>
          <w:lang w:val="en-NZ"/>
        </w:rPr>
        <w:t>not have</w:t>
      </w:r>
      <w:r w:rsidR="00995E7B">
        <w:rPr>
          <w:bCs/>
          <w:lang w:val="en-NZ"/>
        </w:rPr>
        <w:t xml:space="preserve"> </w:t>
      </w:r>
      <w:r w:rsidR="00995E7B" w:rsidRPr="00995E7B">
        <w:rPr>
          <w:b/>
          <w:bCs/>
          <w:lang w:val="en-NZ"/>
        </w:rPr>
        <w:t>clear systems</w:t>
      </w:r>
      <w:r w:rsidR="007F6239">
        <w:rPr>
          <w:bCs/>
          <w:lang w:val="en-NZ"/>
        </w:rPr>
        <w:t xml:space="preserve"> for gathering, storing and assessing evidence</w:t>
      </w:r>
      <w:r w:rsidR="00995E7B">
        <w:rPr>
          <w:bCs/>
          <w:lang w:val="en-NZ"/>
        </w:rPr>
        <w:t>.</w:t>
      </w:r>
    </w:p>
    <w:p w:rsidR="00995E7B" w:rsidRDefault="00995E7B" w:rsidP="00995E7B">
      <w:pPr>
        <w:pStyle w:val="ListParagraph"/>
        <w:ind w:left="1587"/>
        <w:rPr>
          <w:bCs/>
          <w:lang w:val="en-NZ"/>
        </w:rPr>
      </w:pPr>
    </w:p>
    <w:p w:rsidR="00B776A1" w:rsidRPr="00995E7B" w:rsidRDefault="00995E7B" w:rsidP="007F6239">
      <w:pPr>
        <w:pStyle w:val="ListParagraph"/>
        <w:numPr>
          <w:ilvl w:val="0"/>
          <w:numId w:val="3"/>
        </w:numPr>
        <w:ind w:left="1587"/>
        <w:rPr>
          <w:bCs/>
          <w:color w:val="92CDDC" w:themeColor="accent5" w:themeTint="99"/>
          <w:sz w:val="24"/>
          <w:szCs w:val="24"/>
          <w:lang w:val="en-NZ"/>
        </w:rPr>
      </w:pPr>
      <w:r w:rsidRPr="00995E7B">
        <w:rPr>
          <w:bCs/>
          <w:color w:val="92CDDC" w:themeColor="accent5" w:themeTint="99"/>
          <w:sz w:val="24"/>
          <w:szCs w:val="24"/>
          <w:lang w:val="en-NZ"/>
        </w:rPr>
        <w:t xml:space="preserve">  </w:t>
      </w:r>
      <w:r w:rsidR="00B776A1" w:rsidRPr="00995E7B">
        <w:rPr>
          <w:b/>
          <w:color w:val="92CDDC" w:themeColor="accent5" w:themeTint="99"/>
          <w:sz w:val="24"/>
          <w:szCs w:val="24"/>
        </w:rPr>
        <w:t>Identification of students</w:t>
      </w:r>
    </w:p>
    <w:p w:rsidR="00B776A1" w:rsidRDefault="00AE6AA8" w:rsidP="007F6239">
      <w:pPr>
        <w:ind w:left="1587"/>
        <w:rPr>
          <w:bCs/>
          <w:lang w:val="en-NZ"/>
        </w:rPr>
      </w:pPr>
      <w:r>
        <w:rPr>
          <w:bCs/>
          <w:lang w:val="en-NZ"/>
        </w:rPr>
        <w:t>At the start of the year m</w:t>
      </w:r>
      <w:r w:rsidR="00B776A1">
        <w:rPr>
          <w:bCs/>
          <w:lang w:val="en-NZ"/>
        </w:rPr>
        <w:t xml:space="preserve">any schools used </w:t>
      </w:r>
      <w:r w:rsidR="003151B0">
        <w:rPr>
          <w:bCs/>
          <w:lang w:val="en-NZ"/>
        </w:rPr>
        <w:t xml:space="preserve">a range of </w:t>
      </w:r>
      <w:r w:rsidR="00B776A1" w:rsidRPr="0068598C">
        <w:rPr>
          <w:b/>
          <w:bCs/>
          <w:lang w:val="en-NZ"/>
        </w:rPr>
        <w:t>data</w:t>
      </w:r>
      <w:r w:rsidR="00B776A1">
        <w:rPr>
          <w:bCs/>
          <w:lang w:val="en-NZ"/>
        </w:rPr>
        <w:t xml:space="preserve"> to classify students into three groups: those who will definitely need the literacy standards pathway; those who may need them [at risk]; those who should gain the necessary credits through the achievement standards pathway</w:t>
      </w:r>
      <w:r w:rsidR="00B776A1" w:rsidRPr="0068598C">
        <w:rPr>
          <w:b/>
          <w:bCs/>
          <w:lang w:val="en-NZ"/>
        </w:rPr>
        <w:t>.  Checkpoints</w:t>
      </w:r>
      <w:r w:rsidR="00B776A1">
        <w:rPr>
          <w:bCs/>
          <w:lang w:val="en-NZ"/>
        </w:rPr>
        <w:t xml:space="preserve"> carried out at the end of term 2 and in term 3 to </w:t>
      </w:r>
      <w:r w:rsidR="00B776A1" w:rsidRPr="0012270B">
        <w:rPr>
          <w:b/>
          <w:bCs/>
          <w:lang w:val="en-NZ"/>
        </w:rPr>
        <w:t>monitor the progress</w:t>
      </w:r>
      <w:r w:rsidR="00B776A1">
        <w:rPr>
          <w:bCs/>
          <w:lang w:val="en-NZ"/>
        </w:rPr>
        <w:t xml:space="preserve"> of students showed that predictions made at the start of the year were not always accurate. There is the potential for some students to fall through the gaps if adequate checks are not made. However, these checks will be accurate only if teachers are regularly uploading achievement data onto the school’s management system.  </w:t>
      </w:r>
      <w:r>
        <w:rPr>
          <w:bCs/>
          <w:lang w:val="en-NZ"/>
        </w:rPr>
        <w:t>Many teachers with pastoral roles have played a key role in identifying, monitor</w:t>
      </w:r>
      <w:r w:rsidR="0068598C">
        <w:rPr>
          <w:bCs/>
          <w:lang w:val="en-NZ"/>
        </w:rPr>
        <w:t xml:space="preserve">ing and mentoring students using this pathway. </w:t>
      </w:r>
    </w:p>
    <w:p w:rsidR="003151B0" w:rsidRDefault="003151B0" w:rsidP="00B776A1">
      <w:pPr>
        <w:ind w:left="1531"/>
        <w:rPr>
          <w:bCs/>
          <w:lang w:val="en-NZ"/>
        </w:rPr>
      </w:pPr>
    </w:p>
    <w:p w:rsidR="00B776A1" w:rsidRPr="003151B0" w:rsidRDefault="002836F0" w:rsidP="007F6239">
      <w:pPr>
        <w:ind w:left="680"/>
        <w:rPr>
          <w:b/>
          <w:color w:val="31849B" w:themeColor="accent5" w:themeShade="BF"/>
          <w:sz w:val="28"/>
          <w:szCs w:val="28"/>
          <w:lang w:val="en-NZ"/>
        </w:rPr>
      </w:pPr>
      <w:r>
        <w:rPr>
          <w:b/>
          <w:color w:val="31849B" w:themeColor="accent5" w:themeShade="BF"/>
          <w:sz w:val="28"/>
          <w:szCs w:val="28"/>
          <w:lang w:val="en-NZ"/>
        </w:rPr>
        <w:t>Some approaches used to deal with these</w:t>
      </w:r>
      <w:r w:rsidR="00B776A1" w:rsidRPr="003151B0">
        <w:rPr>
          <w:b/>
          <w:color w:val="31849B" w:themeColor="accent5" w:themeShade="BF"/>
          <w:sz w:val="28"/>
          <w:szCs w:val="28"/>
          <w:lang w:val="en-NZ"/>
        </w:rPr>
        <w:t xml:space="preserve"> issues. </w:t>
      </w:r>
    </w:p>
    <w:p w:rsidR="00B776A1" w:rsidRDefault="007C3595" w:rsidP="007F6239">
      <w:pPr>
        <w:pStyle w:val="ListParagraph"/>
        <w:numPr>
          <w:ilvl w:val="0"/>
          <w:numId w:val="14"/>
        </w:numPr>
        <w:ind w:left="1587"/>
        <w:rPr>
          <w:lang w:val="en-NZ"/>
        </w:rPr>
      </w:pPr>
      <w:r w:rsidRPr="008C02F7">
        <w:rPr>
          <w:lang w:val="en-NZ"/>
        </w:rPr>
        <w:t xml:space="preserve">Flip cameras have been used extensively by teachers, </w:t>
      </w:r>
      <w:r w:rsidR="003151B0" w:rsidRPr="008C02F7">
        <w:rPr>
          <w:lang w:val="en-NZ"/>
        </w:rPr>
        <w:t>and in some cases students, to collect electronic</w:t>
      </w:r>
      <w:r w:rsidRPr="008C02F7">
        <w:rPr>
          <w:b/>
          <w:lang w:val="en-NZ"/>
        </w:rPr>
        <w:t xml:space="preserve"> evidence</w:t>
      </w:r>
      <w:r w:rsidR="00B776A1" w:rsidRPr="008C02F7">
        <w:rPr>
          <w:b/>
          <w:lang w:val="en-NZ"/>
        </w:rPr>
        <w:t xml:space="preserve"> of oral interactions</w:t>
      </w:r>
      <w:r w:rsidR="00AA649E">
        <w:rPr>
          <w:b/>
          <w:lang w:val="en-NZ"/>
        </w:rPr>
        <w:t xml:space="preserve">. </w:t>
      </w:r>
      <w:r w:rsidRPr="008C02F7">
        <w:rPr>
          <w:lang w:val="en-NZ"/>
        </w:rPr>
        <w:t xml:space="preserve"> </w:t>
      </w:r>
      <w:r w:rsidR="00B776A1" w:rsidRPr="008C02F7">
        <w:rPr>
          <w:lang w:val="en-NZ"/>
        </w:rPr>
        <w:t>Some schools have constructed their own templates to record examples of questions, comment</w:t>
      </w:r>
      <w:r w:rsidR="003151B0" w:rsidRPr="008C02F7">
        <w:rPr>
          <w:lang w:val="en-NZ"/>
        </w:rPr>
        <w:t>s etc from a group of students</w:t>
      </w:r>
      <w:r w:rsidRPr="008C02F7">
        <w:rPr>
          <w:lang w:val="en-NZ"/>
        </w:rPr>
        <w:t>,</w:t>
      </w:r>
      <w:r w:rsidR="003151B0" w:rsidRPr="008C02F7">
        <w:rPr>
          <w:lang w:val="en-NZ"/>
        </w:rPr>
        <w:t xml:space="preserve"> and keep blank</w:t>
      </w:r>
      <w:r w:rsidR="007F6239">
        <w:rPr>
          <w:lang w:val="en-NZ"/>
        </w:rPr>
        <w:t xml:space="preserve"> templates handy to use when</w:t>
      </w:r>
      <w:r w:rsidR="003151B0" w:rsidRPr="008C02F7">
        <w:rPr>
          <w:lang w:val="en-NZ"/>
        </w:rPr>
        <w:t xml:space="preserve"> opportunities arise. </w:t>
      </w:r>
      <w:r w:rsidR="00B776A1" w:rsidRPr="008C02F7">
        <w:rPr>
          <w:lang w:val="en-NZ"/>
        </w:rPr>
        <w:t>In one school where all year 11 students do a PE/health course, this department has taken responsibility for</w:t>
      </w:r>
      <w:r w:rsidRPr="008C02F7">
        <w:rPr>
          <w:lang w:val="en-NZ"/>
        </w:rPr>
        <w:t xml:space="preserve"> the oral interaction standard, as o</w:t>
      </w:r>
      <w:r w:rsidR="00743654">
        <w:rPr>
          <w:lang w:val="en-NZ"/>
        </w:rPr>
        <w:t xml:space="preserve">ral interactions </w:t>
      </w:r>
      <w:proofErr w:type="gramStart"/>
      <w:r w:rsidR="00743654">
        <w:rPr>
          <w:lang w:val="en-NZ"/>
        </w:rPr>
        <w:t>were</w:t>
      </w:r>
      <w:r w:rsidR="00B776A1" w:rsidRPr="008C02F7">
        <w:rPr>
          <w:lang w:val="en-NZ"/>
        </w:rPr>
        <w:t xml:space="preserve"> already a key component</w:t>
      </w:r>
      <w:proofErr w:type="gramEnd"/>
      <w:r w:rsidR="00B776A1" w:rsidRPr="008C02F7">
        <w:rPr>
          <w:lang w:val="en-NZ"/>
        </w:rPr>
        <w:t xml:space="preserve"> </w:t>
      </w:r>
      <w:r w:rsidR="0012270B">
        <w:rPr>
          <w:lang w:val="en-NZ"/>
        </w:rPr>
        <w:t>of their</w:t>
      </w:r>
      <w:r w:rsidR="00B776A1" w:rsidRPr="008C02F7">
        <w:rPr>
          <w:lang w:val="en-NZ"/>
        </w:rPr>
        <w:t xml:space="preserve"> programmes. Each teacher in that department is gathering evidence for only 2 or 3 identified students in their classes. </w:t>
      </w:r>
    </w:p>
    <w:p w:rsidR="008C02F7" w:rsidRDefault="008C02F7" w:rsidP="008C02F7">
      <w:pPr>
        <w:pStyle w:val="ListParagraph"/>
        <w:ind w:left="1380"/>
        <w:rPr>
          <w:lang w:val="en-NZ"/>
        </w:rPr>
      </w:pPr>
    </w:p>
    <w:p w:rsidR="008C02F7" w:rsidRDefault="00B776A1" w:rsidP="007F6239">
      <w:pPr>
        <w:pStyle w:val="ListParagraph"/>
        <w:numPr>
          <w:ilvl w:val="0"/>
          <w:numId w:val="14"/>
        </w:numPr>
        <w:ind w:left="1587"/>
        <w:rPr>
          <w:lang w:val="en-NZ"/>
        </w:rPr>
      </w:pPr>
      <w:r w:rsidRPr="008C02F7">
        <w:rPr>
          <w:lang w:val="en-NZ"/>
        </w:rPr>
        <w:t xml:space="preserve">Early in term 3 one school identified students at risk of not gaining the necessary literacy credits and brought their teachers together for some </w:t>
      </w:r>
      <w:r w:rsidRPr="008C02F7">
        <w:rPr>
          <w:b/>
          <w:lang w:val="en-NZ"/>
        </w:rPr>
        <w:t>professional</w:t>
      </w:r>
      <w:r w:rsidR="007C3595" w:rsidRPr="008C02F7">
        <w:rPr>
          <w:b/>
          <w:lang w:val="en-NZ"/>
        </w:rPr>
        <w:t xml:space="preserve"> learning and development</w:t>
      </w:r>
      <w:r w:rsidR="007C3595" w:rsidRPr="008C02F7">
        <w:rPr>
          <w:lang w:val="en-NZ"/>
        </w:rPr>
        <w:t xml:space="preserve"> </w:t>
      </w:r>
      <w:r w:rsidR="008C02F7" w:rsidRPr="008C02F7">
        <w:rPr>
          <w:lang w:val="en-NZ"/>
        </w:rPr>
        <w:t>around the intent and requirements of the standards</w:t>
      </w:r>
      <w:r w:rsidR="007C3595" w:rsidRPr="008C02F7">
        <w:rPr>
          <w:lang w:val="en-NZ"/>
        </w:rPr>
        <w:t xml:space="preserve">. </w:t>
      </w:r>
      <w:r w:rsidRPr="008C02F7">
        <w:rPr>
          <w:lang w:val="en-NZ"/>
        </w:rPr>
        <w:t>At the end of this session, these teachers indicated what work they already had that could be added to th</w:t>
      </w:r>
      <w:r w:rsidR="007C3595" w:rsidRPr="008C02F7">
        <w:rPr>
          <w:lang w:val="en-NZ"/>
        </w:rPr>
        <w:t>ese students’ portfolios, and</w:t>
      </w:r>
      <w:r w:rsidRPr="008C02F7">
        <w:rPr>
          <w:lang w:val="en-NZ"/>
        </w:rPr>
        <w:t xml:space="preserve"> what work they would be able to provide before the end of term. </w:t>
      </w:r>
    </w:p>
    <w:p w:rsidR="008C02F7" w:rsidRPr="008C02F7" w:rsidRDefault="008C02F7" w:rsidP="007F6239">
      <w:pPr>
        <w:pStyle w:val="ListParagraph"/>
        <w:ind w:left="1587"/>
        <w:rPr>
          <w:lang w:val="en-NZ"/>
        </w:rPr>
      </w:pPr>
    </w:p>
    <w:p w:rsidR="00B776A1" w:rsidRDefault="008C02F7" w:rsidP="007F6239">
      <w:pPr>
        <w:pStyle w:val="ListParagraph"/>
        <w:numPr>
          <w:ilvl w:val="0"/>
          <w:numId w:val="14"/>
        </w:numPr>
        <w:ind w:left="1587"/>
        <w:rPr>
          <w:lang w:val="en-NZ"/>
        </w:rPr>
      </w:pPr>
      <w:r w:rsidRPr="008C02F7">
        <w:rPr>
          <w:lang w:val="en-NZ"/>
        </w:rPr>
        <w:t>The process of getting t</w:t>
      </w:r>
      <w:r w:rsidR="00B776A1" w:rsidRPr="008C02F7">
        <w:rPr>
          <w:lang w:val="en-NZ"/>
        </w:rPr>
        <w:t xml:space="preserve">eachers from all learning areas </w:t>
      </w:r>
      <w:r w:rsidRPr="008C02F7">
        <w:rPr>
          <w:lang w:val="en-NZ"/>
        </w:rPr>
        <w:t xml:space="preserve">to bring </w:t>
      </w:r>
      <w:r w:rsidR="00B776A1" w:rsidRPr="008C02F7">
        <w:rPr>
          <w:lang w:val="en-NZ"/>
        </w:rPr>
        <w:t xml:space="preserve">along </w:t>
      </w:r>
      <w:r w:rsidR="00B776A1" w:rsidRPr="008C02F7">
        <w:rPr>
          <w:b/>
          <w:lang w:val="en-NZ"/>
        </w:rPr>
        <w:t xml:space="preserve">samples of student work </w:t>
      </w:r>
      <w:r w:rsidRPr="008C02F7">
        <w:rPr>
          <w:lang w:val="en-NZ"/>
        </w:rPr>
        <w:t>and consider these alongside the standards has several</w:t>
      </w:r>
      <w:r w:rsidR="007F6239">
        <w:rPr>
          <w:lang w:val="en-NZ"/>
        </w:rPr>
        <w:t xml:space="preserve"> benefits. It helps teachers to</w:t>
      </w:r>
      <w:r w:rsidR="00B776A1" w:rsidRPr="008C02F7">
        <w:rPr>
          <w:lang w:val="en-NZ"/>
        </w:rPr>
        <w:t xml:space="preserve"> reali</w:t>
      </w:r>
      <w:r w:rsidRPr="008C02F7">
        <w:rPr>
          <w:lang w:val="en-NZ"/>
        </w:rPr>
        <w:t>se that they do</w:t>
      </w:r>
      <w:r w:rsidR="00B776A1" w:rsidRPr="008C02F7">
        <w:rPr>
          <w:lang w:val="en-NZ"/>
        </w:rPr>
        <w:t xml:space="preserve"> have ‘naturally occurring’ evidence that co</w:t>
      </w:r>
      <w:r w:rsidR="007F6239">
        <w:rPr>
          <w:lang w:val="en-NZ"/>
        </w:rPr>
        <w:t xml:space="preserve">uld be appropriate, and </w:t>
      </w:r>
      <w:r w:rsidRPr="008C02F7">
        <w:rPr>
          <w:lang w:val="en-NZ"/>
        </w:rPr>
        <w:t xml:space="preserve">they gain </w:t>
      </w:r>
      <w:r w:rsidR="00B776A1" w:rsidRPr="008C02F7">
        <w:rPr>
          <w:lang w:val="en-NZ"/>
        </w:rPr>
        <w:t>a clearer understanding of literacy in cross c</w:t>
      </w:r>
      <w:r w:rsidRPr="008C02F7">
        <w:rPr>
          <w:lang w:val="en-NZ"/>
        </w:rPr>
        <w:t xml:space="preserve">urricular settings. </w:t>
      </w:r>
    </w:p>
    <w:p w:rsidR="008C02F7" w:rsidRPr="008C02F7" w:rsidRDefault="008C02F7" w:rsidP="007F6239">
      <w:pPr>
        <w:pStyle w:val="ListParagraph"/>
        <w:ind w:left="1587"/>
        <w:rPr>
          <w:lang w:val="en-NZ"/>
        </w:rPr>
      </w:pPr>
    </w:p>
    <w:p w:rsidR="0012270B" w:rsidRPr="0012270B" w:rsidRDefault="00B776A1" w:rsidP="0012270B">
      <w:pPr>
        <w:pStyle w:val="ListParagraph"/>
        <w:numPr>
          <w:ilvl w:val="0"/>
          <w:numId w:val="14"/>
        </w:numPr>
        <w:ind w:left="1587"/>
        <w:rPr>
          <w:bCs/>
          <w:color w:val="31849B" w:themeColor="accent5" w:themeShade="BF"/>
          <w:sz w:val="24"/>
          <w:szCs w:val="24"/>
          <w:lang w:val="en-NZ"/>
        </w:rPr>
      </w:pPr>
      <w:r w:rsidRPr="0012270B">
        <w:rPr>
          <w:lang w:val="en-NZ"/>
        </w:rPr>
        <w:lastRenderedPageBreak/>
        <w:t xml:space="preserve">In some schools </w:t>
      </w:r>
      <w:r w:rsidRPr="0012270B">
        <w:rPr>
          <w:b/>
          <w:lang w:val="en-NZ"/>
        </w:rPr>
        <w:t>progress reports</w:t>
      </w:r>
      <w:r w:rsidRPr="0012270B">
        <w:rPr>
          <w:lang w:val="en-NZ"/>
        </w:rPr>
        <w:t xml:space="preserve"> were shared with students at the start of term 3. At this stage of the year students were more motivated to take some </w:t>
      </w:r>
      <w:r w:rsidR="00D63D8E">
        <w:rPr>
          <w:lang w:val="en-NZ"/>
        </w:rPr>
        <w:t>individual responsibility</w:t>
      </w:r>
      <w:r w:rsidR="007F6239" w:rsidRPr="0012270B">
        <w:rPr>
          <w:lang w:val="en-NZ"/>
        </w:rPr>
        <w:t>,</w:t>
      </w:r>
      <w:r w:rsidRPr="0012270B">
        <w:rPr>
          <w:lang w:val="en-NZ"/>
        </w:rPr>
        <w:t xml:space="preserve"> and had a clearer understanding of what was required.  These reports showed clearly what evidence the student had for each standa</w:t>
      </w:r>
      <w:r w:rsidR="007C3595" w:rsidRPr="0012270B">
        <w:rPr>
          <w:lang w:val="en-NZ"/>
        </w:rPr>
        <w:t>rd and what they still required</w:t>
      </w:r>
      <w:r w:rsidR="0012270B">
        <w:rPr>
          <w:lang w:val="en-NZ"/>
        </w:rPr>
        <w:t xml:space="preserve">. These reports were often shared with mentor/form teachers and parents. </w:t>
      </w:r>
    </w:p>
    <w:p w:rsidR="0012270B" w:rsidRPr="0012270B" w:rsidRDefault="0012270B" w:rsidP="0012270B">
      <w:pPr>
        <w:pStyle w:val="ListParagraph"/>
        <w:rPr>
          <w:b/>
          <w:bCs/>
          <w:color w:val="31849B" w:themeColor="accent5" w:themeShade="BF"/>
          <w:sz w:val="28"/>
          <w:szCs w:val="28"/>
          <w:lang w:val="en-NZ"/>
        </w:rPr>
      </w:pPr>
    </w:p>
    <w:p w:rsidR="00295095" w:rsidRDefault="00295095" w:rsidP="0062432A">
      <w:pPr>
        <w:pStyle w:val="ListParagraph"/>
        <w:ind w:left="680"/>
        <w:rPr>
          <w:b/>
          <w:bCs/>
          <w:color w:val="31849B" w:themeColor="accent5" w:themeShade="BF"/>
          <w:sz w:val="24"/>
          <w:szCs w:val="24"/>
          <w:lang w:val="en-NZ"/>
        </w:rPr>
      </w:pPr>
      <w:r w:rsidRPr="0012270B">
        <w:rPr>
          <w:b/>
          <w:bCs/>
          <w:color w:val="31849B" w:themeColor="accent5" w:themeShade="BF"/>
          <w:sz w:val="28"/>
          <w:szCs w:val="28"/>
          <w:lang w:val="en-NZ"/>
        </w:rPr>
        <w:t>Implementing the standards – some positives</w:t>
      </w:r>
      <w:r w:rsidRPr="0012270B">
        <w:rPr>
          <w:b/>
          <w:bCs/>
          <w:color w:val="31849B" w:themeColor="accent5" w:themeShade="BF"/>
          <w:sz w:val="24"/>
          <w:szCs w:val="24"/>
          <w:lang w:val="en-NZ"/>
        </w:rPr>
        <w:t xml:space="preserve"> </w:t>
      </w:r>
    </w:p>
    <w:p w:rsidR="0062432A" w:rsidRPr="0012270B" w:rsidRDefault="0062432A" w:rsidP="0062432A">
      <w:pPr>
        <w:pStyle w:val="ListParagraph"/>
        <w:ind w:left="680"/>
        <w:rPr>
          <w:bCs/>
          <w:color w:val="31849B" w:themeColor="accent5" w:themeShade="BF"/>
          <w:sz w:val="24"/>
          <w:szCs w:val="24"/>
          <w:lang w:val="en-NZ"/>
        </w:rPr>
      </w:pPr>
    </w:p>
    <w:p w:rsidR="007F6239" w:rsidRPr="002836F0" w:rsidRDefault="00295095" w:rsidP="007F6239">
      <w:pPr>
        <w:pStyle w:val="ListParagraph"/>
        <w:numPr>
          <w:ilvl w:val="0"/>
          <w:numId w:val="7"/>
        </w:numPr>
        <w:ind w:left="1587"/>
        <w:rPr>
          <w:lang w:val="en-NZ"/>
        </w:rPr>
      </w:pPr>
      <w:r w:rsidRPr="007F6239">
        <w:rPr>
          <w:bCs/>
          <w:lang w:val="en-NZ"/>
        </w:rPr>
        <w:t xml:space="preserve">Learning and professional development has increased </w:t>
      </w:r>
      <w:r w:rsidRPr="007F6239">
        <w:rPr>
          <w:b/>
          <w:bCs/>
          <w:lang w:val="en-NZ"/>
        </w:rPr>
        <w:t>teachers’ awareness of effective cross-curricular literacy pedagogy</w:t>
      </w:r>
    </w:p>
    <w:p w:rsidR="002836F0" w:rsidRPr="007F6239" w:rsidRDefault="002836F0" w:rsidP="002836F0">
      <w:pPr>
        <w:pStyle w:val="ListParagraph"/>
        <w:ind w:left="1587"/>
        <w:rPr>
          <w:lang w:val="en-NZ"/>
        </w:rPr>
      </w:pPr>
    </w:p>
    <w:p w:rsidR="002836F0" w:rsidRPr="002836F0" w:rsidRDefault="00295095" w:rsidP="002836F0">
      <w:pPr>
        <w:pStyle w:val="ListParagraph"/>
        <w:numPr>
          <w:ilvl w:val="0"/>
          <w:numId w:val="7"/>
        </w:numPr>
        <w:ind w:left="1587"/>
        <w:rPr>
          <w:lang w:val="en-NZ"/>
        </w:rPr>
      </w:pPr>
      <w:r w:rsidRPr="007F6239">
        <w:rPr>
          <w:b/>
          <w:bCs/>
          <w:lang w:val="en-NZ"/>
        </w:rPr>
        <w:t>Language acquisition</w:t>
      </w:r>
      <w:r w:rsidRPr="007F6239">
        <w:rPr>
          <w:bCs/>
          <w:lang w:val="en-NZ"/>
        </w:rPr>
        <w:t xml:space="preserve"> takes time, and gathering evidence ac</w:t>
      </w:r>
      <w:r w:rsidR="007F6239">
        <w:rPr>
          <w:bCs/>
          <w:lang w:val="en-NZ"/>
        </w:rPr>
        <w:t>ross the year acknowledges that</w:t>
      </w:r>
      <w:r w:rsidRPr="007F6239">
        <w:rPr>
          <w:bCs/>
          <w:lang w:val="en-NZ"/>
        </w:rPr>
        <w:t xml:space="preserve"> English language learners may take longer, and need more</w:t>
      </w:r>
      <w:r w:rsidR="007F6239">
        <w:rPr>
          <w:bCs/>
          <w:lang w:val="en-NZ"/>
        </w:rPr>
        <w:t xml:space="preserve"> support to develop appropriate</w:t>
      </w:r>
      <w:r w:rsidRPr="007F6239">
        <w:rPr>
          <w:bCs/>
          <w:lang w:val="en-NZ"/>
        </w:rPr>
        <w:t xml:space="preserve"> literacy skills. </w:t>
      </w:r>
    </w:p>
    <w:p w:rsidR="007F6239" w:rsidRPr="002836F0" w:rsidRDefault="00295095" w:rsidP="002836F0">
      <w:pPr>
        <w:pStyle w:val="ListParagraph"/>
        <w:ind w:left="1587"/>
        <w:rPr>
          <w:lang w:val="en-NZ"/>
        </w:rPr>
      </w:pPr>
      <w:r w:rsidRPr="002836F0">
        <w:rPr>
          <w:bCs/>
          <w:lang w:val="en-NZ"/>
        </w:rPr>
        <w:t xml:space="preserve"> </w:t>
      </w:r>
    </w:p>
    <w:p w:rsidR="002836F0" w:rsidRPr="002836F0" w:rsidRDefault="00295095" w:rsidP="002836F0">
      <w:pPr>
        <w:pStyle w:val="ListParagraph"/>
        <w:numPr>
          <w:ilvl w:val="0"/>
          <w:numId w:val="7"/>
        </w:numPr>
        <w:ind w:left="1587"/>
        <w:rPr>
          <w:bCs/>
          <w:lang w:val="en-NZ"/>
        </w:rPr>
      </w:pPr>
      <w:r w:rsidRPr="002836F0">
        <w:rPr>
          <w:bCs/>
          <w:lang w:val="en-NZ"/>
        </w:rPr>
        <w:t xml:space="preserve">Students involved in discussions with teachers about their portfolios and their next steps have been </w:t>
      </w:r>
      <w:r w:rsidRPr="002836F0">
        <w:rPr>
          <w:b/>
          <w:bCs/>
          <w:lang w:val="en-NZ"/>
        </w:rPr>
        <w:t>empowered</w:t>
      </w:r>
      <w:r w:rsidRPr="002836F0">
        <w:rPr>
          <w:bCs/>
          <w:lang w:val="en-NZ"/>
        </w:rPr>
        <w:t xml:space="preserve"> and more </w:t>
      </w:r>
      <w:r w:rsidRPr="002836F0">
        <w:rPr>
          <w:b/>
          <w:bCs/>
          <w:lang w:val="en-NZ"/>
        </w:rPr>
        <w:t>actively involved</w:t>
      </w:r>
      <w:r w:rsidRPr="002836F0">
        <w:rPr>
          <w:bCs/>
          <w:lang w:val="en-NZ"/>
        </w:rPr>
        <w:t xml:space="preserve"> in their own learning. </w:t>
      </w:r>
    </w:p>
    <w:p w:rsidR="002836F0" w:rsidRDefault="002836F0" w:rsidP="002836F0">
      <w:pPr>
        <w:pStyle w:val="ListParagraph"/>
        <w:ind w:left="1587"/>
        <w:rPr>
          <w:bCs/>
          <w:lang w:val="en-NZ"/>
        </w:rPr>
      </w:pPr>
    </w:p>
    <w:p w:rsidR="002836F0" w:rsidRPr="002836F0" w:rsidRDefault="00295095" w:rsidP="002836F0">
      <w:pPr>
        <w:pStyle w:val="ListParagraph"/>
        <w:numPr>
          <w:ilvl w:val="0"/>
          <w:numId w:val="7"/>
        </w:numPr>
        <w:ind w:left="1587"/>
        <w:rPr>
          <w:lang w:val="en-NZ"/>
        </w:rPr>
      </w:pPr>
      <w:r w:rsidRPr="002836F0">
        <w:rPr>
          <w:bCs/>
          <w:lang w:val="en-NZ"/>
        </w:rPr>
        <w:t xml:space="preserve">Teachers of English classes where the majority of students are using this pathway believe that their </w:t>
      </w:r>
      <w:r w:rsidRPr="002836F0">
        <w:rPr>
          <w:b/>
          <w:bCs/>
          <w:lang w:val="en-NZ"/>
        </w:rPr>
        <w:t>teaching and learning programme</w:t>
      </w:r>
      <w:r w:rsidRPr="002836F0">
        <w:rPr>
          <w:bCs/>
          <w:lang w:val="en-NZ"/>
        </w:rPr>
        <w:t xml:space="preserve"> is more </w:t>
      </w:r>
      <w:r w:rsidRPr="002836F0">
        <w:rPr>
          <w:b/>
          <w:bCs/>
          <w:lang w:val="en-NZ"/>
        </w:rPr>
        <w:t>enjoyable</w:t>
      </w:r>
      <w:r w:rsidRPr="002836F0">
        <w:rPr>
          <w:bCs/>
          <w:lang w:val="en-NZ"/>
        </w:rPr>
        <w:t>; there is less focus on assessment, and more on building skills and understandings across the year.</w:t>
      </w:r>
    </w:p>
    <w:p w:rsidR="002836F0" w:rsidRPr="002836F0" w:rsidRDefault="002836F0" w:rsidP="002836F0">
      <w:pPr>
        <w:pStyle w:val="ListParagraph"/>
        <w:ind w:left="1587"/>
        <w:rPr>
          <w:lang w:val="en-NZ"/>
        </w:rPr>
      </w:pPr>
    </w:p>
    <w:p w:rsidR="002836F0" w:rsidRPr="002836F0" w:rsidRDefault="00295095" w:rsidP="002836F0">
      <w:pPr>
        <w:pStyle w:val="ListParagraph"/>
        <w:numPr>
          <w:ilvl w:val="0"/>
          <w:numId w:val="7"/>
        </w:numPr>
        <w:ind w:left="1587"/>
        <w:rPr>
          <w:lang w:val="en-NZ"/>
        </w:rPr>
      </w:pPr>
      <w:r w:rsidRPr="002836F0">
        <w:rPr>
          <w:bCs/>
          <w:lang w:val="en-NZ"/>
        </w:rPr>
        <w:t xml:space="preserve">  Some students do not enjoy/engage in English programmes but produce competent work in other learning areas which can be used to </w:t>
      </w:r>
      <w:r w:rsidRPr="002836F0">
        <w:rPr>
          <w:b/>
          <w:bCs/>
          <w:lang w:val="en-NZ"/>
        </w:rPr>
        <w:t>maximise their chances of success</w:t>
      </w:r>
      <w:r w:rsidRPr="002836F0">
        <w:rPr>
          <w:bCs/>
          <w:lang w:val="en-NZ"/>
        </w:rPr>
        <w:t>.</w:t>
      </w:r>
    </w:p>
    <w:p w:rsidR="00295095" w:rsidRPr="002836F0" w:rsidRDefault="00295095" w:rsidP="002836F0">
      <w:pPr>
        <w:pStyle w:val="ListParagraph"/>
        <w:ind w:left="1587"/>
        <w:rPr>
          <w:lang w:val="en-NZ"/>
        </w:rPr>
      </w:pPr>
      <w:r w:rsidRPr="002836F0">
        <w:rPr>
          <w:bCs/>
          <w:lang w:val="en-NZ"/>
        </w:rPr>
        <w:t xml:space="preserve"> </w:t>
      </w:r>
    </w:p>
    <w:p w:rsidR="002836F0" w:rsidRPr="002836F0" w:rsidRDefault="00295095" w:rsidP="002836F0">
      <w:pPr>
        <w:pStyle w:val="ListParagraph"/>
        <w:numPr>
          <w:ilvl w:val="0"/>
          <w:numId w:val="7"/>
        </w:numPr>
        <w:ind w:left="1587"/>
        <w:rPr>
          <w:lang w:val="en-NZ"/>
        </w:rPr>
      </w:pPr>
      <w:r w:rsidRPr="00B34E4C">
        <w:rPr>
          <w:bCs/>
          <w:lang w:val="en-NZ"/>
        </w:rPr>
        <w:t>As the evidence for these standards is gather</w:t>
      </w:r>
      <w:r>
        <w:rPr>
          <w:bCs/>
          <w:lang w:val="en-NZ"/>
        </w:rPr>
        <w:t>ed over time, students who are</w:t>
      </w:r>
      <w:r w:rsidRPr="00B34E4C">
        <w:rPr>
          <w:bCs/>
          <w:lang w:val="en-NZ"/>
        </w:rPr>
        <w:t xml:space="preserve"> absent for assessment</w:t>
      </w:r>
      <w:r>
        <w:rPr>
          <w:bCs/>
          <w:lang w:val="en-NZ"/>
        </w:rPr>
        <w:t>s may</w:t>
      </w:r>
      <w:r w:rsidRPr="00B34E4C">
        <w:rPr>
          <w:bCs/>
          <w:lang w:val="en-NZ"/>
        </w:rPr>
        <w:t xml:space="preserve"> still have </w:t>
      </w:r>
      <w:r w:rsidRPr="002836F0">
        <w:rPr>
          <w:b/>
          <w:bCs/>
          <w:lang w:val="en-NZ"/>
        </w:rPr>
        <w:t>sufficient evidence</w:t>
      </w:r>
      <w:r w:rsidRPr="00B34E4C">
        <w:rPr>
          <w:bCs/>
          <w:lang w:val="en-NZ"/>
        </w:rPr>
        <w:t xml:space="preserve"> across their subjects to attest to their literacy skills. </w:t>
      </w:r>
    </w:p>
    <w:p w:rsidR="002836F0" w:rsidRPr="00B34E4C" w:rsidRDefault="002836F0" w:rsidP="002836F0">
      <w:pPr>
        <w:pStyle w:val="ListParagraph"/>
        <w:ind w:left="1587"/>
        <w:rPr>
          <w:lang w:val="en-NZ"/>
        </w:rPr>
      </w:pPr>
    </w:p>
    <w:p w:rsidR="00295095" w:rsidRPr="00B34E4C" w:rsidRDefault="00295095" w:rsidP="007F6239">
      <w:pPr>
        <w:pStyle w:val="ListParagraph"/>
        <w:numPr>
          <w:ilvl w:val="0"/>
          <w:numId w:val="7"/>
        </w:numPr>
        <w:ind w:left="1587"/>
        <w:rPr>
          <w:lang w:val="en-NZ"/>
        </w:rPr>
      </w:pPr>
      <w:r>
        <w:rPr>
          <w:bCs/>
          <w:lang w:val="en-NZ"/>
        </w:rPr>
        <w:t>There are students who will earn</w:t>
      </w:r>
      <w:r w:rsidRPr="00B34E4C">
        <w:rPr>
          <w:bCs/>
          <w:lang w:val="en-NZ"/>
        </w:rPr>
        <w:t xml:space="preserve"> their literacy credits through the achievement standa</w:t>
      </w:r>
      <w:r>
        <w:rPr>
          <w:bCs/>
          <w:lang w:val="en-NZ"/>
        </w:rPr>
        <w:t>rds pathway but still only gain 70+</w:t>
      </w:r>
      <w:r w:rsidRPr="00B34E4C">
        <w:rPr>
          <w:bCs/>
          <w:lang w:val="en-NZ"/>
        </w:rPr>
        <w:t xml:space="preserve"> credit</w:t>
      </w:r>
      <w:r>
        <w:rPr>
          <w:bCs/>
          <w:lang w:val="en-NZ"/>
        </w:rPr>
        <w:t>s. The</w:t>
      </w:r>
      <w:r w:rsidRPr="00B34E4C">
        <w:rPr>
          <w:bCs/>
          <w:lang w:val="en-NZ"/>
        </w:rPr>
        <w:t xml:space="preserve"> </w:t>
      </w:r>
      <w:r>
        <w:rPr>
          <w:bCs/>
          <w:lang w:val="en-NZ"/>
        </w:rPr>
        <w:t xml:space="preserve">literacy standards could </w:t>
      </w:r>
      <w:r w:rsidRPr="00B34E4C">
        <w:rPr>
          <w:bCs/>
          <w:lang w:val="en-NZ"/>
        </w:rPr>
        <w:t>provide</w:t>
      </w:r>
      <w:r>
        <w:rPr>
          <w:bCs/>
          <w:lang w:val="en-NZ"/>
        </w:rPr>
        <w:t xml:space="preserve"> </w:t>
      </w:r>
      <w:r w:rsidRPr="002836F0">
        <w:rPr>
          <w:b/>
          <w:bCs/>
          <w:lang w:val="en-NZ"/>
        </w:rPr>
        <w:t>another 10 credits</w:t>
      </w:r>
      <w:r>
        <w:rPr>
          <w:bCs/>
          <w:lang w:val="en-NZ"/>
        </w:rPr>
        <w:t xml:space="preserve"> for such</w:t>
      </w:r>
      <w:r w:rsidRPr="00B34E4C">
        <w:rPr>
          <w:bCs/>
          <w:lang w:val="en-NZ"/>
        </w:rPr>
        <w:t xml:space="preserve"> students. </w:t>
      </w:r>
    </w:p>
    <w:p w:rsidR="00295095" w:rsidRDefault="00295095" w:rsidP="007F6239">
      <w:pPr>
        <w:pStyle w:val="ListParagraph"/>
        <w:ind w:left="1587"/>
        <w:rPr>
          <w:color w:val="FF0000"/>
          <w:lang w:val="en-NZ"/>
        </w:rPr>
      </w:pPr>
    </w:p>
    <w:p w:rsidR="0012270B" w:rsidRPr="0012270B" w:rsidRDefault="002836F0" w:rsidP="0012270B">
      <w:pPr>
        <w:pStyle w:val="ListParagraph"/>
        <w:ind w:left="680"/>
        <w:rPr>
          <w:b/>
          <w:color w:val="31849B" w:themeColor="accent5" w:themeShade="BF"/>
          <w:sz w:val="28"/>
          <w:szCs w:val="28"/>
          <w:lang w:val="en-NZ"/>
        </w:rPr>
      </w:pPr>
      <w:r>
        <w:rPr>
          <w:b/>
          <w:color w:val="31849B" w:themeColor="accent5" w:themeShade="BF"/>
          <w:sz w:val="28"/>
          <w:szCs w:val="28"/>
          <w:lang w:val="en-NZ"/>
        </w:rPr>
        <w:t>S</w:t>
      </w:r>
      <w:r w:rsidR="00295095" w:rsidRPr="002836F0">
        <w:rPr>
          <w:b/>
          <w:color w:val="31849B" w:themeColor="accent5" w:themeShade="BF"/>
          <w:sz w:val="28"/>
          <w:szCs w:val="28"/>
          <w:lang w:val="en-NZ"/>
        </w:rPr>
        <w:t xml:space="preserve">ome </w:t>
      </w:r>
      <w:r>
        <w:rPr>
          <w:b/>
          <w:color w:val="31849B" w:themeColor="accent5" w:themeShade="BF"/>
          <w:sz w:val="28"/>
          <w:szCs w:val="28"/>
          <w:lang w:val="en-NZ"/>
        </w:rPr>
        <w:t xml:space="preserve">further </w:t>
      </w:r>
      <w:r w:rsidR="00295095" w:rsidRPr="002836F0">
        <w:rPr>
          <w:b/>
          <w:color w:val="31849B" w:themeColor="accent5" w:themeShade="BF"/>
          <w:sz w:val="28"/>
          <w:szCs w:val="28"/>
          <w:lang w:val="en-NZ"/>
        </w:rPr>
        <w:t>considerations</w:t>
      </w:r>
    </w:p>
    <w:p w:rsidR="00295095" w:rsidRDefault="00295095" w:rsidP="00295095">
      <w:pPr>
        <w:pStyle w:val="ListParagraph"/>
        <w:rPr>
          <w:b/>
          <w:lang w:val="en-NZ"/>
        </w:rPr>
      </w:pPr>
    </w:p>
    <w:p w:rsidR="00295095" w:rsidRPr="002836F0" w:rsidRDefault="002836F0" w:rsidP="00295095">
      <w:pPr>
        <w:pStyle w:val="ListParagraph"/>
        <w:numPr>
          <w:ilvl w:val="0"/>
          <w:numId w:val="8"/>
        </w:numPr>
        <w:rPr>
          <w:bCs/>
          <w:i/>
          <w:lang w:val="en-NZ"/>
        </w:rPr>
      </w:pPr>
      <w:r w:rsidRPr="002836F0">
        <w:rPr>
          <w:bCs/>
          <w:i/>
          <w:lang w:val="en-NZ"/>
        </w:rPr>
        <w:t xml:space="preserve"> </w:t>
      </w:r>
      <w:r w:rsidRPr="002836F0">
        <w:rPr>
          <w:bCs/>
          <w:lang w:val="en-NZ"/>
        </w:rPr>
        <w:t>There are many benefits in having a</w:t>
      </w:r>
      <w:r w:rsidRPr="002836F0">
        <w:rPr>
          <w:b/>
          <w:bCs/>
          <w:lang w:val="en-NZ"/>
        </w:rPr>
        <w:t xml:space="preserve"> team </w:t>
      </w:r>
      <w:r w:rsidRPr="002836F0">
        <w:rPr>
          <w:bCs/>
          <w:lang w:val="en-NZ"/>
        </w:rPr>
        <w:t xml:space="preserve">which includes staff with </w:t>
      </w:r>
      <w:r w:rsidRPr="002836F0">
        <w:rPr>
          <w:b/>
          <w:bCs/>
          <w:lang w:val="en-NZ"/>
        </w:rPr>
        <w:t>academic</w:t>
      </w:r>
      <w:r w:rsidRPr="002836F0">
        <w:rPr>
          <w:bCs/>
          <w:lang w:val="en-NZ"/>
        </w:rPr>
        <w:t xml:space="preserve"> and </w:t>
      </w:r>
      <w:r w:rsidRPr="002836F0">
        <w:rPr>
          <w:b/>
          <w:bCs/>
          <w:lang w:val="en-NZ"/>
        </w:rPr>
        <w:t>pastoral</w:t>
      </w:r>
      <w:r w:rsidRPr="002836F0">
        <w:rPr>
          <w:bCs/>
          <w:lang w:val="en-NZ"/>
        </w:rPr>
        <w:t xml:space="preserve"> roles. I</w:t>
      </w:r>
      <w:r w:rsidR="00295095" w:rsidRPr="002836F0">
        <w:rPr>
          <w:bCs/>
          <w:lang w:val="en-NZ"/>
        </w:rPr>
        <w:t>t</w:t>
      </w:r>
      <w:r w:rsidR="00295095" w:rsidRPr="002836F0">
        <w:rPr>
          <w:bCs/>
          <w:color w:val="FF0000"/>
          <w:lang w:val="en-NZ"/>
        </w:rPr>
        <w:t xml:space="preserve"> </w:t>
      </w:r>
      <w:r w:rsidRPr="002836F0">
        <w:rPr>
          <w:lang w:val="en-NZ"/>
        </w:rPr>
        <w:t>i</w:t>
      </w:r>
      <w:r w:rsidR="00295095" w:rsidRPr="002836F0">
        <w:rPr>
          <w:lang w:val="en-NZ"/>
        </w:rPr>
        <w:t xml:space="preserve">s important for a designated person [preferably not the HOD English] to have </w:t>
      </w:r>
      <w:r w:rsidR="00295095" w:rsidRPr="002836F0">
        <w:rPr>
          <w:b/>
          <w:lang w:val="en-NZ"/>
        </w:rPr>
        <w:t>oversight</w:t>
      </w:r>
      <w:r w:rsidR="00295095" w:rsidRPr="002836F0">
        <w:rPr>
          <w:lang w:val="en-NZ"/>
        </w:rPr>
        <w:t xml:space="preserve">, but there should also be other staff involved with clearly defined roles.  </w:t>
      </w:r>
      <w:r w:rsidR="00295095" w:rsidRPr="002836F0">
        <w:rPr>
          <w:bCs/>
          <w:lang w:val="en-NZ"/>
        </w:rPr>
        <w:t>There is the obvious benefit of spread</w:t>
      </w:r>
      <w:r w:rsidRPr="002836F0">
        <w:rPr>
          <w:bCs/>
          <w:lang w:val="en-NZ"/>
        </w:rPr>
        <w:t xml:space="preserve">ing the workload, but </w:t>
      </w:r>
      <w:r w:rsidR="00295095" w:rsidRPr="002836F0">
        <w:rPr>
          <w:bCs/>
          <w:lang w:val="en-NZ"/>
        </w:rPr>
        <w:t xml:space="preserve">it would also </w:t>
      </w:r>
      <w:r w:rsidR="00295095" w:rsidRPr="0012270B">
        <w:rPr>
          <w:b/>
          <w:bCs/>
          <w:lang w:val="en-NZ"/>
        </w:rPr>
        <w:t xml:space="preserve">improve </w:t>
      </w:r>
      <w:r w:rsidR="00295095" w:rsidRPr="0012270B">
        <w:rPr>
          <w:b/>
          <w:bCs/>
          <w:lang w:val="en-NZ"/>
        </w:rPr>
        <w:lastRenderedPageBreak/>
        <w:t xml:space="preserve">the teaching of literacy in cross-curricular settings </w:t>
      </w:r>
      <w:r w:rsidR="00295095" w:rsidRPr="002836F0">
        <w:rPr>
          <w:bCs/>
          <w:lang w:val="en-NZ"/>
        </w:rPr>
        <w:t xml:space="preserve">if more teachers looked at student work through a literacy lens. </w:t>
      </w:r>
    </w:p>
    <w:p w:rsidR="002836F0" w:rsidRPr="002836F0" w:rsidRDefault="002836F0" w:rsidP="002836F0">
      <w:pPr>
        <w:pStyle w:val="ListParagraph"/>
        <w:ind w:left="1457"/>
        <w:rPr>
          <w:bCs/>
          <w:i/>
          <w:lang w:val="en-NZ"/>
        </w:rPr>
      </w:pPr>
    </w:p>
    <w:p w:rsidR="00295095" w:rsidRPr="00A44CC3" w:rsidRDefault="002836F0" w:rsidP="00295095">
      <w:pPr>
        <w:pStyle w:val="ListParagraph"/>
        <w:numPr>
          <w:ilvl w:val="0"/>
          <w:numId w:val="8"/>
        </w:numPr>
        <w:rPr>
          <w:bCs/>
          <w:i/>
          <w:lang w:val="en-NZ"/>
        </w:rPr>
      </w:pPr>
      <w:r>
        <w:rPr>
          <w:lang w:val="en-NZ"/>
        </w:rPr>
        <w:t>There is a</w:t>
      </w:r>
      <w:r w:rsidR="00295095" w:rsidRPr="002836F0">
        <w:rPr>
          <w:lang w:val="en-NZ"/>
        </w:rPr>
        <w:t xml:space="preserve"> need for staff </w:t>
      </w:r>
      <w:r w:rsidR="00295095" w:rsidRPr="002836F0">
        <w:rPr>
          <w:b/>
          <w:lang w:val="en-NZ"/>
        </w:rPr>
        <w:t xml:space="preserve">professional learning and </w:t>
      </w:r>
      <w:r w:rsidR="00295095" w:rsidRPr="00BF51BF">
        <w:rPr>
          <w:b/>
          <w:lang w:val="en-NZ"/>
        </w:rPr>
        <w:t>development</w:t>
      </w:r>
      <w:r w:rsidR="00BF51BF">
        <w:rPr>
          <w:b/>
          <w:lang w:val="en-NZ"/>
        </w:rPr>
        <w:t xml:space="preserve">. </w:t>
      </w:r>
      <w:r w:rsidR="00295095" w:rsidRPr="00BF51BF">
        <w:rPr>
          <w:bCs/>
          <w:lang w:val="en-NZ"/>
        </w:rPr>
        <w:t>There</w:t>
      </w:r>
      <w:r w:rsidR="00295095" w:rsidRPr="002836F0">
        <w:rPr>
          <w:bCs/>
          <w:lang w:val="en-NZ"/>
        </w:rPr>
        <w:t xml:space="preserve"> are students who will struggle to achieve levels one and two unless their cross-curricular literacy skills and compe</w:t>
      </w:r>
      <w:r w:rsidR="0062432A">
        <w:rPr>
          <w:bCs/>
          <w:lang w:val="en-NZ"/>
        </w:rPr>
        <w:t>tencies are improv</w:t>
      </w:r>
      <w:r w:rsidR="00295095" w:rsidRPr="002836F0">
        <w:rPr>
          <w:bCs/>
          <w:lang w:val="en-NZ"/>
        </w:rPr>
        <w:t>ed. It would be useful to include some PLD around literacy within the context of NCEA, not just the literacy US.  This could support teachers to</w:t>
      </w:r>
      <w:r w:rsidR="00295095" w:rsidRPr="002836F0">
        <w:rPr>
          <w:bCs/>
          <w:i/>
          <w:lang w:val="en-NZ"/>
        </w:rPr>
        <w:t>:</w:t>
      </w:r>
    </w:p>
    <w:p w:rsidR="00295095" w:rsidRPr="006107BE" w:rsidRDefault="00295095" w:rsidP="00295095">
      <w:pPr>
        <w:pStyle w:val="ListParagraph"/>
        <w:numPr>
          <w:ilvl w:val="0"/>
          <w:numId w:val="10"/>
        </w:numPr>
        <w:ind w:left="2268"/>
        <w:rPr>
          <w:bCs/>
          <w:i/>
        </w:rPr>
      </w:pPr>
      <w:r>
        <w:rPr>
          <w:bCs/>
          <w:i/>
          <w:lang w:val="en-NZ"/>
        </w:rPr>
        <w:t>u</w:t>
      </w:r>
      <w:r w:rsidRPr="00A44CC3">
        <w:rPr>
          <w:bCs/>
          <w:i/>
          <w:lang w:val="en-NZ"/>
        </w:rPr>
        <w:t>nderstand</w:t>
      </w:r>
      <w:r>
        <w:rPr>
          <w:bCs/>
          <w:i/>
          <w:lang w:val="en-NZ"/>
        </w:rPr>
        <w:t xml:space="preserve"> </w:t>
      </w:r>
      <w:r w:rsidRPr="00A44CC3">
        <w:rPr>
          <w:bCs/>
          <w:i/>
          <w:lang w:val="en-NZ"/>
        </w:rPr>
        <w:t xml:space="preserve"> the dive</w:t>
      </w:r>
      <w:r>
        <w:rPr>
          <w:bCs/>
          <w:i/>
          <w:lang w:val="en-NZ"/>
        </w:rPr>
        <w:t>rse literacy</w:t>
      </w:r>
      <w:r w:rsidRPr="00A44CC3">
        <w:rPr>
          <w:bCs/>
          <w:i/>
          <w:lang w:val="en-NZ"/>
        </w:rPr>
        <w:t xml:space="preserve"> understandings </w:t>
      </w:r>
      <w:r>
        <w:rPr>
          <w:bCs/>
          <w:i/>
          <w:lang w:val="en-NZ"/>
        </w:rPr>
        <w:t xml:space="preserve">and skills of </w:t>
      </w:r>
      <w:r w:rsidRPr="00A44CC3">
        <w:rPr>
          <w:bCs/>
          <w:i/>
          <w:lang w:val="en-NZ"/>
        </w:rPr>
        <w:t xml:space="preserve"> </w:t>
      </w:r>
      <w:r>
        <w:rPr>
          <w:bCs/>
          <w:i/>
          <w:lang w:val="en-NZ"/>
        </w:rPr>
        <w:t xml:space="preserve">their </w:t>
      </w:r>
      <w:r w:rsidRPr="00A44CC3">
        <w:rPr>
          <w:bCs/>
          <w:i/>
          <w:lang w:val="en-NZ"/>
        </w:rPr>
        <w:t>students</w:t>
      </w:r>
    </w:p>
    <w:p w:rsidR="00295095" w:rsidRPr="006107BE" w:rsidRDefault="00295095" w:rsidP="00295095">
      <w:pPr>
        <w:pStyle w:val="ListParagraph"/>
        <w:numPr>
          <w:ilvl w:val="0"/>
          <w:numId w:val="10"/>
        </w:numPr>
        <w:ind w:left="2268"/>
        <w:rPr>
          <w:bCs/>
          <w:i/>
        </w:rPr>
      </w:pPr>
      <w:r w:rsidRPr="006107BE">
        <w:rPr>
          <w:bCs/>
          <w:i/>
          <w:lang w:val="en-NZ"/>
        </w:rPr>
        <w:t>incorporate explicit literacy learning as part of their courses</w:t>
      </w:r>
    </w:p>
    <w:p w:rsidR="00295095" w:rsidRPr="006107BE" w:rsidRDefault="00295095" w:rsidP="00295095">
      <w:pPr>
        <w:pStyle w:val="ListParagraph"/>
        <w:numPr>
          <w:ilvl w:val="0"/>
          <w:numId w:val="10"/>
        </w:numPr>
        <w:ind w:left="2268"/>
        <w:rPr>
          <w:bCs/>
          <w:i/>
        </w:rPr>
      </w:pPr>
      <w:r w:rsidRPr="006107BE">
        <w:rPr>
          <w:bCs/>
          <w:i/>
          <w:lang w:val="en-NZ"/>
        </w:rPr>
        <w:t>identify when they could include opportunities for gathering of evidence for US</w:t>
      </w:r>
    </w:p>
    <w:p w:rsidR="00295095" w:rsidRPr="006107BE" w:rsidRDefault="00295095" w:rsidP="00295095">
      <w:pPr>
        <w:pStyle w:val="ListParagraph"/>
        <w:numPr>
          <w:ilvl w:val="0"/>
          <w:numId w:val="10"/>
        </w:numPr>
        <w:ind w:left="2268"/>
        <w:rPr>
          <w:bCs/>
          <w:i/>
        </w:rPr>
      </w:pPr>
      <w:r w:rsidRPr="006107BE">
        <w:rPr>
          <w:bCs/>
          <w:i/>
          <w:lang w:val="en-NZ"/>
        </w:rPr>
        <w:t>understand criteria and intent of the standards</w:t>
      </w:r>
    </w:p>
    <w:p w:rsidR="00295095" w:rsidRPr="002836F0" w:rsidRDefault="00295095" w:rsidP="00295095">
      <w:pPr>
        <w:pStyle w:val="ListParagraph"/>
        <w:numPr>
          <w:ilvl w:val="0"/>
          <w:numId w:val="10"/>
        </w:numPr>
        <w:ind w:left="2268"/>
        <w:rPr>
          <w:bCs/>
          <w:i/>
        </w:rPr>
      </w:pPr>
      <w:r w:rsidRPr="006107BE">
        <w:rPr>
          <w:bCs/>
          <w:i/>
          <w:lang w:val="en-NZ"/>
        </w:rPr>
        <w:t>understand  processes and roles for implementation</w:t>
      </w:r>
    </w:p>
    <w:p w:rsidR="002836F0" w:rsidRPr="006107BE" w:rsidRDefault="002836F0" w:rsidP="002836F0">
      <w:pPr>
        <w:pStyle w:val="ListParagraph"/>
        <w:ind w:left="2268"/>
        <w:rPr>
          <w:bCs/>
          <w:i/>
        </w:rPr>
      </w:pPr>
    </w:p>
    <w:p w:rsidR="00295095" w:rsidRDefault="00295095" w:rsidP="00295095">
      <w:pPr>
        <w:pStyle w:val="ListParagraph"/>
        <w:numPr>
          <w:ilvl w:val="0"/>
          <w:numId w:val="9"/>
        </w:numPr>
        <w:rPr>
          <w:bCs/>
        </w:rPr>
      </w:pPr>
      <w:r w:rsidRPr="002836F0">
        <w:rPr>
          <w:bCs/>
          <w:lang w:val="en-NZ"/>
        </w:rPr>
        <w:t>These standards are intended to be a ‘</w:t>
      </w:r>
      <w:r w:rsidRPr="002836F0">
        <w:rPr>
          <w:b/>
          <w:bCs/>
          <w:lang w:val="en-NZ"/>
        </w:rPr>
        <w:t>success step’</w:t>
      </w:r>
      <w:r w:rsidRPr="002836F0">
        <w:rPr>
          <w:bCs/>
          <w:lang w:val="en-NZ"/>
        </w:rPr>
        <w:t xml:space="preserve"> to further learning and assessment.</w:t>
      </w:r>
      <w:r w:rsidRPr="002836F0">
        <w:rPr>
          <w:bCs/>
          <w:color w:val="FF0000"/>
          <w:lang w:val="en-NZ"/>
        </w:rPr>
        <w:t xml:space="preserve"> </w:t>
      </w:r>
      <w:r w:rsidRPr="002836F0">
        <w:rPr>
          <w:bCs/>
          <w:lang w:val="en-NZ"/>
        </w:rPr>
        <w:t xml:space="preserve">It is important to </w:t>
      </w:r>
      <w:r w:rsidRPr="002836F0">
        <w:rPr>
          <w:bCs/>
        </w:rPr>
        <w:t xml:space="preserve">keep high expectations for students and to be sure there are future pathways for all students. Students’ learning needs, cultures, interests, and the NZC should be the starting points for </w:t>
      </w:r>
      <w:proofErr w:type="spellStart"/>
      <w:r w:rsidRPr="002836F0">
        <w:rPr>
          <w:bCs/>
        </w:rPr>
        <w:t>programmes</w:t>
      </w:r>
      <w:proofErr w:type="spellEnd"/>
      <w:r w:rsidRPr="002836F0">
        <w:rPr>
          <w:bCs/>
        </w:rPr>
        <w:t xml:space="preserve">.  These should </w:t>
      </w:r>
      <w:r w:rsidRPr="0012270B">
        <w:rPr>
          <w:b/>
          <w:bCs/>
        </w:rPr>
        <w:t>drive teaching and learning,</w:t>
      </w:r>
      <w:r w:rsidRPr="002836F0">
        <w:rPr>
          <w:bCs/>
        </w:rPr>
        <w:t xml:space="preserve"> not the standards. The naturally occurring evidence will ‘fall out’ of the programme. The standards are not an end in themselves. </w:t>
      </w:r>
    </w:p>
    <w:p w:rsidR="0062432A" w:rsidRDefault="0062432A" w:rsidP="0062432A">
      <w:pPr>
        <w:pStyle w:val="ListParagraph"/>
        <w:ind w:left="1457"/>
        <w:rPr>
          <w:bCs/>
        </w:rPr>
      </w:pPr>
    </w:p>
    <w:p w:rsidR="0062432A" w:rsidRPr="007F4E66" w:rsidRDefault="00BF51BF" w:rsidP="0062432A">
      <w:pPr>
        <w:pStyle w:val="ListParagraph"/>
        <w:ind w:left="1457"/>
        <w:rPr>
          <w:lang w:val="en-NZ"/>
        </w:rPr>
      </w:pPr>
      <w:r>
        <w:rPr>
          <w:lang w:val="en-NZ"/>
        </w:rPr>
        <w:t>To access the l</w:t>
      </w:r>
      <w:r w:rsidR="0062432A">
        <w:rPr>
          <w:lang w:val="en-NZ"/>
        </w:rPr>
        <w:t>iteracy unit standards and support materials go to</w:t>
      </w:r>
    </w:p>
    <w:p w:rsidR="0062432A" w:rsidRDefault="00690538" w:rsidP="0062432A">
      <w:pPr>
        <w:pStyle w:val="ListParagraph"/>
        <w:ind w:left="1457"/>
        <w:jc w:val="both"/>
        <w:rPr>
          <w:lang w:val="en-NZ"/>
        </w:rPr>
      </w:pPr>
      <w:hyperlink r:id="rId8" w:history="1">
        <w:r w:rsidR="0062432A" w:rsidRPr="009417DF">
          <w:rPr>
            <w:rStyle w:val="Hyperlink"/>
            <w:lang w:val="en-NZ"/>
          </w:rPr>
          <w:t>http://www.nzqa.govt.nz/qualifications-standards/qualifications/ncea/subjects/literacy-and-numeracy-level-1/</w:t>
        </w:r>
      </w:hyperlink>
    </w:p>
    <w:p w:rsidR="0062432A" w:rsidRPr="008764ED" w:rsidRDefault="0062432A" w:rsidP="0062432A">
      <w:pPr>
        <w:pStyle w:val="ListParagraph"/>
        <w:ind w:left="1457"/>
        <w:rPr>
          <w:lang w:val="en-NZ"/>
        </w:rPr>
      </w:pPr>
    </w:p>
    <w:sectPr w:rsidR="0062432A" w:rsidRPr="008764ED" w:rsidSect="00B151A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202A4"/>
    <w:multiLevelType w:val="hybridMultilevel"/>
    <w:tmpl w:val="C7E070AE"/>
    <w:lvl w:ilvl="0" w:tplc="04DA6130">
      <w:start w:val="1"/>
      <w:numFmt w:val="upp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nsid w:val="236F2215"/>
    <w:multiLevelType w:val="hybridMultilevel"/>
    <w:tmpl w:val="50984728"/>
    <w:lvl w:ilvl="0" w:tplc="04090001">
      <w:start w:val="1"/>
      <w:numFmt w:val="bullet"/>
      <w:lvlText w:val=""/>
      <w:lvlJc w:val="left"/>
      <w:pPr>
        <w:ind w:left="1760" w:hanging="360"/>
      </w:pPr>
      <w:rPr>
        <w:rFonts w:ascii="Symbol" w:hAnsi="Symbol" w:hint="default"/>
      </w:rPr>
    </w:lvl>
    <w:lvl w:ilvl="1" w:tplc="04090003" w:tentative="1">
      <w:start w:val="1"/>
      <w:numFmt w:val="bullet"/>
      <w:lvlText w:val="o"/>
      <w:lvlJc w:val="left"/>
      <w:pPr>
        <w:ind w:left="2480" w:hanging="360"/>
      </w:pPr>
      <w:rPr>
        <w:rFonts w:ascii="Courier New" w:hAnsi="Courier New" w:cs="Courier New" w:hint="default"/>
      </w:rPr>
    </w:lvl>
    <w:lvl w:ilvl="2" w:tplc="04090005" w:tentative="1">
      <w:start w:val="1"/>
      <w:numFmt w:val="bullet"/>
      <w:lvlText w:val=""/>
      <w:lvlJc w:val="left"/>
      <w:pPr>
        <w:ind w:left="3200" w:hanging="360"/>
      </w:pPr>
      <w:rPr>
        <w:rFonts w:ascii="Wingdings" w:hAnsi="Wingdings" w:hint="default"/>
      </w:rPr>
    </w:lvl>
    <w:lvl w:ilvl="3" w:tplc="04090001" w:tentative="1">
      <w:start w:val="1"/>
      <w:numFmt w:val="bullet"/>
      <w:lvlText w:val=""/>
      <w:lvlJc w:val="left"/>
      <w:pPr>
        <w:ind w:left="3920" w:hanging="360"/>
      </w:pPr>
      <w:rPr>
        <w:rFonts w:ascii="Symbol" w:hAnsi="Symbol" w:hint="default"/>
      </w:rPr>
    </w:lvl>
    <w:lvl w:ilvl="4" w:tplc="04090003" w:tentative="1">
      <w:start w:val="1"/>
      <w:numFmt w:val="bullet"/>
      <w:lvlText w:val="o"/>
      <w:lvlJc w:val="left"/>
      <w:pPr>
        <w:ind w:left="4640" w:hanging="360"/>
      </w:pPr>
      <w:rPr>
        <w:rFonts w:ascii="Courier New" w:hAnsi="Courier New" w:cs="Courier New" w:hint="default"/>
      </w:rPr>
    </w:lvl>
    <w:lvl w:ilvl="5" w:tplc="04090005" w:tentative="1">
      <w:start w:val="1"/>
      <w:numFmt w:val="bullet"/>
      <w:lvlText w:val=""/>
      <w:lvlJc w:val="left"/>
      <w:pPr>
        <w:ind w:left="5360" w:hanging="360"/>
      </w:pPr>
      <w:rPr>
        <w:rFonts w:ascii="Wingdings" w:hAnsi="Wingdings" w:hint="default"/>
      </w:rPr>
    </w:lvl>
    <w:lvl w:ilvl="6" w:tplc="04090001" w:tentative="1">
      <w:start w:val="1"/>
      <w:numFmt w:val="bullet"/>
      <w:lvlText w:val=""/>
      <w:lvlJc w:val="left"/>
      <w:pPr>
        <w:ind w:left="6080" w:hanging="360"/>
      </w:pPr>
      <w:rPr>
        <w:rFonts w:ascii="Symbol" w:hAnsi="Symbol" w:hint="default"/>
      </w:rPr>
    </w:lvl>
    <w:lvl w:ilvl="7" w:tplc="04090003" w:tentative="1">
      <w:start w:val="1"/>
      <w:numFmt w:val="bullet"/>
      <w:lvlText w:val="o"/>
      <w:lvlJc w:val="left"/>
      <w:pPr>
        <w:ind w:left="6800" w:hanging="360"/>
      </w:pPr>
      <w:rPr>
        <w:rFonts w:ascii="Courier New" w:hAnsi="Courier New" w:cs="Courier New" w:hint="default"/>
      </w:rPr>
    </w:lvl>
    <w:lvl w:ilvl="8" w:tplc="04090005" w:tentative="1">
      <w:start w:val="1"/>
      <w:numFmt w:val="bullet"/>
      <w:lvlText w:val=""/>
      <w:lvlJc w:val="left"/>
      <w:pPr>
        <w:ind w:left="7520" w:hanging="360"/>
      </w:pPr>
      <w:rPr>
        <w:rFonts w:ascii="Wingdings" w:hAnsi="Wingdings" w:hint="default"/>
      </w:rPr>
    </w:lvl>
  </w:abstractNum>
  <w:abstractNum w:abstractNumId="2">
    <w:nsid w:val="2F6A4179"/>
    <w:multiLevelType w:val="hybridMultilevel"/>
    <w:tmpl w:val="3B26701E"/>
    <w:lvl w:ilvl="0" w:tplc="4D4E0280">
      <w:start w:val="1"/>
      <w:numFmt w:val="upp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
    <w:nsid w:val="33981287"/>
    <w:multiLevelType w:val="hybridMultilevel"/>
    <w:tmpl w:val="1264037A"/>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4">
    <w:nsid w:val="33BD1173"/>
    <w:multiLevelType w:val="hybridMultilevel"/>
    <w:tmpl w:val="A77AA0B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nsid w:val="382B1581"/>
    <w:multiLevelType w:val="hybridMultilevel"/>
    <w:tmpl w:val="DF72A53A"/>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6">
    <w:nsid w:val="3A4F1B3F"/>
    <w:multiLevelType w:val="hybridMultilevel"/>
    <w:tmpl w:val="94B2FAA2"/>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7">
    <w:nsid w:val="41AE7575"/>
    <w:multiLevelType w:val="hybridMultilevel"/>
    <w:tmpl w:val="45D693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A97095"/>
    <w:multiLevelType w:val="hybridMultilevel"/>
    <w:tmpl w:val="3278AE82"/>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9">
    <w:nsid w:val="4BE97314"/>
    <w:multiLevelType w:val="hybridMultilevel"/>
    <w:tmpl w:val="30F6BFE2"/>
    <w:lvl w:ilvl="0" w:tplc="04090015">
      <w:start w:val="1"/>
      <w:numFmt w:val="upperLetter"/>
      <w:lvlText w:val="%1."/>
      <w:lvlJc w:val="left"/>
      <w:pPr>
        <w:ind w:left="1760" w:hanging="360"/>
      </w:p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10">
    <w:nsid w:val="62092FE0"/>
    <w:multiLevelType w:val="hybridMultilevel"/>
    <w:tmpl w:val="7B388670"/>
    <w:lvl w:ilvl="0" w:tplc="0409000F">
      <w:start w:val="1"/>
      <w:numFmt w:val="decimal"/>
      <w:lvlText w:val="%1."/>
      <w:lvlJc w:val="left"/>
      <w:pPr>
        <w:ind w:left="700" w:hanging="360"/>
      </w:pPr>
      <w:rPr>
        <w:rFonts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1">
    <w:nsid w:val="6B4B6B66"/>
    <w:multiLevelType w:val="hybridMultilevel"/>
    <w:tmpl w:val="0968344A"/>
    <w:lvl w:ilvl="0" w:tplc="0409000B">
      <w:start w:val="1"/>
      <w:numFmt w:val="bullet"/>
      <w:lvlText w:val=""/>
      <w:lvlJc w:val="left"/>
      <w:pPr>
        <w:ind w:left="2648" w:hanging="360"/>
      </w:pPr>
      <w:rPr>
        <w:rFonts w:ascii="Wingdings" w:hAnsi="Wingdings" w:hint="default"/>
      </w:rPr>
    </w:lvl>
    <w:lvl w:ilvl="1" w:tplc="04090003" w:tentative="1">
      <w:start w:val="1"/>
      <w:numFmt w:val="bullet"/>
      <w:lvlText w:val="o"/>
      <w:lvlJc w:val="left"/>
      <w:pPr>
        <w:ind w:left="3368" w:hanging="360"/>
      </w:pPr>
      <w:rPr>
        <w:rFonts w:ascii="Courier New" w:hAnsi="Courier New" w:cs="Courier New" w:hint="default"/>
      </w:rPr>
    </w:lvl>
    <w:lvl w:ilvl="2" w:tplc="04090005" w:tentative="1">
      <w:start w:val="1"/>
      <w:numFmt w:val="bullet"/>
      <w:lvlText w:val=""/>
      <w:lvlJc w:val="left"/>
      <w:pPr>
        <w:ind w:left="4088" w:hanging="360"/>
      </w:pPr>
      <w:rPr>
        <w:rFonts w:ascii="Wingdings" w:hAnsi="Wingdings" w:hint="default"/>
      </w:rPr>
    </w:lvl>
    <w:lvl w:ilvl="3" w:tplc="04090001" w:tentative="1">
      <w:start w:val="1"/>
      <w:numFmt w:val="bullet"/>
      <w:lvlText w:val=""/>
      <w:lvlJc w:val="left"/>
      <w:pPr>
        <w:ind w:left="4808" w:hanging="360"/>
      </w:pPr>
      <w:rPr>
        <w:rFonts w:ascii="Symbol" w:hAnsi="Symbol" w:hint="default"/>
      </w:rPr>
    </w:lvl>
    <w:lvl w:ilvl="4" w:tplc="04090003" w:tentative="1">
      <w:start w:val="1"/>
      <w:numFmt w:val="bullet"/>
      <w:lvlText w:val="o"/>
      <w:lvlJc w:val="left"/>
      <w:pPr>
        <w:ind w:left="5528" w:hanging="360"/>
      </w:pPr>
      <w:rPr>
        <w:rFonts w:ascii="Courier New" w:hAnsi="Courier New" w:cs="Courier New" w:hint="default"/>
      </w:rPr>
    </w:lvl>
    <w:lvl w:ilvl="5" w:tplc="04090005" w:tentative="1">
      <w:start w:val="1"/>
      <w:numFmt w:val="bullet"/>
      <w:lvlText w:val=""/>
      <w:lvlJc w:val="left"/>
      <w:pPr>
        <w:ind w:left="6248" w:hanging="360"/>
      </w:pPr>
      <w:rPr>
        <w:rFonts w:ascii="Wingdings" w:hAnsi="Wingdings" w:hint="default"/>
      </w:rPr>
    </w:lvl>
    <w:lvl w:ilvl="6" w:tplc="04090001" w:tentative="1">
      <w:start w:val="1"/>
      <w:numFmt w:val="bullet"/>
      <w:lvlText w:val=""/>
      <w:lvlJc w:val="left"/>
      <w:pPr>
        <w:ind w:left="6968" w:hanging="360"/>
      </w:pPr>
      <w:rPr>
        <w:rFonts w:ascii="Symbol" w:hAnsi="Symbol" w:hint="default"/>
      </w:rPr>
    </w:lvl>
    <w:lvl w:ilvl="7" w:tplc="04090003" w:tentative="1">
      <w:start w:val="1"/>
      <w:numFmt w:val="bullet"/>
      <w:lvlText w:val="o"/>
      <w:lvlJc w:val="left"/>
      <w:pPr>
        <w:ind w:left="7688" w:hanging="360"/>
      </w:pPr>
      <w:rPr>
        <w:rFonts w:ascii="Courier New" w:hAnsi="Courier New" w:cs="Courier New" w:hint="default"/>
      </w:rPr>
    </w:lvl>
    <w:lvl w:ilvl="8" w:tplc="04090005" w:tentative="1">
      <w:start w:val="1"/>
      <w:numFmt w:val="bullet"/>
      <w:lvlText w:val=""/>
      <w:lvlJc w:val="left"/>
      <w:pPr>
        <w:ind w:left="8408" w:hanging="360"/>
      </w:pPr>
      <w:rPr>
        <w:rFonts w:ascii="Wingdings" w:hAnsi="Wingdings" w:hint="default"/>
      </w:rPr>
    </w:lvl>
  </w:abstractNum>
  <w:abstractNum w:abstractNumId="12">
    <w:nsid w:val="74595D3A"/>
    <w:multiLevelType w:val="hybridMultilevel"/>
    <w:tmpl w:val="A15E36C2"/>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3">
    <w:nsid w:val="77B7085A"/>
    <w:multiLevelType w:val="hybridMultilevel"/>
    <w:tmpl w:val="1B62CB5C"/>
    <w:lvl w:ilvl="0" w:tplc="04090011">
      <w:start w:val="1"/>
      <w:numFmt w:val="decimal"/>
      <w:lvlText w:val="%1)"/>
      <w:lvlJc w:val="left"/>
      <w:pPr>
        <w:ind w:left="2307" w:hanging="360"/>
      </w:pPr>
    </w:lvl>
    <w:lvl w:ilvl="1" w:tplc="04090019" w:tentative="1">
      <w:start w:val="1"/>
      <w:numFmt w:val="lowerLetter"/>
      <w:lvlText w:val="%2."/>
      <w:lvlJc w:val="left"/>
      <w:pPr>
        <w:ind w:left="3027" w:hanging="360"/>
      </w:pPr>
    </w:lvl>
    <w:lvl w:ilvl="2" w:tplc="0409001B" w:tentative="1">
      <w:start w:val="1"/>
      <w:numFmt w:val="lowerRoman"/>
      <w:lvlText w:val="%3."/>
      <w:lvlJc w:val="right"/>
      <w:pPr>
        <w:ind w:left="3747" w:hanging="180"/>
      </w:pPr>
    </w:lvl>
    <w:lvl w:ilvl="3" w:tplc="0409000F" w:tentative="1">
      <w:start w:val="1"/>
      <w:numFmt w:val="decimal"/>
      <w:lvlText w:val="%4."/>
      <w:lvlJc w:val="left"/>
      <w:pPr>
        <w:ind w:left="4467" w:hanging="360"/>
      </w:pPr>
    </w:lvl>
    <w:lvl w:ilvl="4" w:tplc="04090019" w:tentative="1">
      <w:start w:val="1"/>
      <w:numFmt w:val="lowerLetter"/>
      <w:lvlText w:val="%5."/>
      <w:lvlJc w:val="left"/>
      <w:pPr>
        <w:ind w:left="5187" w:hanging="360"/>
      </w:pPr>
    </w:lvl>
    <w:lvl w:ilvl="5" w:tplc="0409001B" w:tentative="1">
      <w:start w:val="1"/>
      <w:numFmt w:val="lowerRoman"/>
      <w:lvlText w:val="%6."/>
      <w:lvlJc w:val="right"/>
      <w:pPr>
        <w:ind w:left="5907" w:hanging="180"/>
      </w:pPr>
    </w:lvl>
    <w:lvl w:ilvl="6" w:tplc="0409000F" w:tentative="1">
      <w:start w:val="1"/>
      <w:numFmt w:val="decimal"/>
      <w:lvlText w:val="%7."/>
      <w:lvlJc w:val="left"/>
      <w:pPr>
        <w:ind w:left="6627" w:hanging="360"/>
      </w:pPr>
    </w:lvl>
    <w:lvl w:ilvl="7" w:tplc="04090019" w:tentative="1">
      <w:start w:val="1"/>
      <w:numFmt w:val="lowerLetter"/>
      <w:lvlText w:val="%8."/>
      <w:lvlJc w:val="left"/>
      <w:pPr>
        <w:ind w:left="7347" w:hanging="360"/>
      </w:pPr>
    </w:lvl>
    <w:lvl w:ilvl="8" w:tplc="0409001B" w:tentative="1">
      <w:start w:val="1"/>
      <w:numFmt w:val="lowerRoman"/>
      <w:lvlText w:val="%9."/>
      <w:lvlJc w:val="right"/>
      <w:pPr>
        <w:ind w:left="8067" w:hanging="180"/>
      </w:pPr>
    </w:lvl>
  </w:abstractNum>
  <w:num w:numId="1">
    <w:abstractNumId w:val="2"/>
  </w:num>
  <w:num w:numId="2">
    <w:abstractNumId w:val="0"/>
  </w:num>
  <w:num w:numId="3">
    <w:abstractNumId w:val="10"/>
  </w:num>
  <w:num w:numId="4">
    <w:abstractNumId w:val="8"/>
  </w:num>
  <w:num w:numId="5">
    <w:abstractNumId w:val="4"/>
  </w:num>
  <w:num w:numId="6">
    <w:abstractNumId w:val="12"/>
  </w:num>
  <w:num w:numId="7">
    <w:abstractNumId w:val="7"/>
  </w:num>
  <w:num w:numId="8">
    <w:abstractNumId w:val="3"/>
  </w:num>
  <w:num w:numId="9">
    <w:abstractNumId w:val="5"/>
  </w:num>
  <w:num w:numId="10">
    <w:abstractNumId w:val="11"/>
  </w:num>
  <w:num w:numId="11">
    <w:abstractNumId w:val="1"/>
  </w:num>
  <w:num w:numId="12">
    <w:abstractNumId w:val="9"/>
  </w:num>
  <w:num w:numId="13">
    <w:abstractNumId w:val="13"/>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180D"/>
    <w:rsid w:val="000D5B8A"/>
    <w:rsid w:val="0012270B"/>
    <w:rsid w:val="00184A96"/>
    <w:rsid w:val="00216003"/>
    <w:rsid w:val="00247D5A"/>
    <w:rsid w:val="002836F0"/>
    <w:rsid w:val="00295095"/>
    <w:rsid w:val="003151B0"/>
    <w:rsid w:val="004917A8"/>
    <w:rsid w:val="0062432A"/>
    <w:rsid w:val="0068598C"/>
    <w:rsid w:val="00690538"/>
    <w:rsid w:val="00743654"/>
    <w:rsid w:val="00747395"/>
    <w:rsid w:val="007C3595"/>
    <w:rsid w:val="007F6239"/>
    <w:rsid w:val="00821D77"/>
    <w:rsid w:val="008A3BFA"/>
    <w:rsid w:val="008C02F7"/>
    <w:rsid w:val="00971B67"/>
    <w:rsid w:val="0098376E"/>
    <w:rsid w:val="00995E7B"/>
    <w:rsid w:val="00997D46"/>
    <w:rsid w:val="00AA649E"/>
    <w:rsid w:val="00AD0EBD"/>
    <w:rsid w:val="00AE6AA8"/>
    <w:rsid w:val="00B151A6"/>
    <w:rsid w:val="00B41E8A"/>
    <w:rsid w:val="00B776A1"/>
    <w:rsid w:val="00BF51BF"/>
    <w:rsid w:val="00CF3888"/>
    <w:rsid w:val="00D63D8E"/>
    <w:rsid w:val="00ED180D"/>
    <w:rsid w:val="00F52685"/>
    <w:rsid w:val="00FF16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1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80D"/>
    <w:pPr>
      <w:ind w:left="720"/>
      <w:contextualSpacing/>
    </w:pPr>
  </w:style>
  <w:style w:type="character" w:styleId="Hyperlink">
    <w:name w:val="Hyperlink"/>
    <w:basedOn w:val="DefaultParagraphFont"/>
    <w:uiPriority w:val="99"/>
    <w:unhideWhenUsed/>
    <w:rsid w:val="00AD0EBD"/>
    <w:rPr>
      <w:color w:val="0000FF" w:themeColor="hyperlink"/>
      <w:u w:val="single"/>
    </w:rPr>
  </w:style>
  <w:style w:type="paragraph" w:styleId="BalloonText">
    <w:name w:val="Balloon Text"/>
    <w:basedOn w:val="Normal"/>
    <w:link w:val="BalloonTextChar"/>
    <w:uiPriority w:val="99"/>
    <w:semiHidden/>
    <w:unhideWhenUsed/>
    <w:rsid w:val="00997D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D46"/>
    <w:rPr>
      <w:rFonts w:ascii="Tahoma" w:hAnsi="Tahoma" w:cs="Tahoma"/>
      <w:sz w:val="16"/>
      <w:szCs w:val="16"/>
    </w:rPr>
  </w:style>
  <w:style w:type="character" w:styleId="FollowedHyperlink">
    <w:name w:val="FollowedHyperlink"/>
    <w:basedOn w:val="DefaultParagraphFont"/>
    <w:uiPriority w:val="99"/>
    <w:semiHidden/>
    <w:unhideWhenUsed/>
    <w:rsid w:val="00216003"/>
    <w:rPr>
      <w:color w:val="800080" w:themeColor="followedHyperlink"/>
      <w:u w:val="single"/>
    </w:rPr>
  </w:style>
  <w:style w:type="paragraph" w:styleId="Revision">
    <w:name w:val="Revision"/>
    <w:hidden/>
    <w:uiPriority w:val="99"/>
    <w:semiHidden/>
    <w:rsid w:val="0074739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nzqa.govt.nz/qualifications-standards/qualifications/ncea/subjects/literacy-and-numeracy-level-1/" TargetMode="External"/><Relationship Id="rId3" Type="http://schemas.openxmlformats.org/officeDocument/2006/relationships/settings" Target="settings.xml"/><Relationship Id="rId7" Type="http://schemas.openxmlformats.org/officeDocument/2006/relationships/hyperlink" Target="http://www.nzqa.govt.nz/qualifications-standards/qualifications/ncea/subjects/literacy-and-numeracy-level-1/information-and-resources-for-planning-and-implement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c.govt.nz/Documents/Publications/Learning-progressions-literacy.pdf" TargetMode="External"/><Relationship Id="rId5" Type="http://schemas.openxmlformats.org/officeDocument/2006/relationships/hyperlink" Target="http://www.nzqa.govt.nz/about-us/our-role/legislation/nzqa-rules/secondary-schools-supporting-information/literacy-numeracy-201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6</Pages>
  <Words>1907</Words>
  <Characters>10874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Canterbury</Company>
  <LinksUpToDate>false</LinksUpToDate>
  <CharactersWithSpaces>12756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Denise</cp:lastModifiedBy>
  <cp:revision>10</cp:revision>
  <cp:lastPrinted>2011-10-13T00:34:00Z</cp:lastPrinted>
  <dcterms:created xsi:type="dcterms:W3CDTF">2011-10-13T00:01:00Z</dcterms:created>
  <dcterms:modified xsi:type="dcterms:W3CDTF">2011-10-30T22:55:00Z</dcterms:modified>
</cp:coreProperties>
</file>