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119" w:rsidRPr="00C73540" w:rsidRDefault="008C7119" w:rsidP="008C7119">
      <w:pPr>
        <w:pStyle w:val="Heading1"/>
        <w:rPr>
          <w:rFonts w:ascii="Palatino" w:hAnsi="Palatino"/>
          <w:lang w:val="en-AU"/>
        </w:rPr>
      </w:pPr>
      <w:r w:rsidRPr="00C73540">
        <w:rPr>
          <w:rFonts w:ascii="Palatino" w:hAnsi="Palatino"/>
          <w:lang w:val="en-AU"/>
        </w:rPr>
        <w:t>Frog School</w:t>
      </w:r>
    </w:p>
    <w:p w:rsidR="008C7119" w:rsidRPr="00C73540" w:rsidRDefault="008C7119" w:rsidP="008C7119">
      <w:pPr>
        <w:pStyle w:val="Heading2"/>
        <w:rPr>
          <w:rFonts w:ascii="Palatino" w:hAnsi="Palatino"/>
          <w:lang w:val="en-AU"/>
        </w:rPr>
      </w:pPr>
      <w:r w:rsidRPr="00C73540">
        <w:rPr>
          <w:rFonts w:ascii="Palatino" w:hAnsi="Palatino"/>
          <w:lang w:val="en-AU"/>
        </w:rPr>
        <w:t>by Philippa Werry</w:t>
      </w:r>
    </w:p>
    <w:p w:rsidR="008C7119" w:rsidRPr="00C73540" w:rsidRDefault="008C7119" w:rsidP="008C7119">
      <w:pPr>
        <w:pStyle w:val="Heading2"/>
        <w:rPr>
          <w:rFonts w:ascii="Palatino" w:hAnsi="Palatino"/>
          <w:lang w:val="en-AU"/>
        </w:rPr>
      </w:pPr>
      <w:r w:rsidRPr="00C73540">
        <w:rPr>
          <w:rFonts w:ascii="Palatino" w:hAnsi="Palatino"/>
          <w:lang w:val="en-AU"/>
        </w:rPr>
        <w:t>illustrations by Fraser Williamson</w:t>
      </w:r>
    </w:p>
    <w:p w:rsidR="008C7119" w:rsidRPr="00C73540" w:rsidRDefault="008C7119" w:rsidP="008C7119">
      <w:pPr>
        <w:rPr>
          <w:rFonts w:ascii="Palatino" w:hAnsi="Palatino"/>
          <w:lang w:val="en-AU"/>
        </w:rPr>
      </w:pPr>
      <w:r w:rsidRPr="00C73540">
        <w:rPr>
          <w:rFonts w:ascii="Palatino" w:hAnsi="Palatino"/>
          <w:lang w:val="en-AU"/>
        </w:rPr>
        <w:t>This text is levelled at Purple 2.</w:t>
      </w:r>
    </w:p>
    <w:p w:rsidR="008C7119" w:rsidRPr="00C73540" w:rsidRDefault="008C7119" w:rsidP="008C7119">
      <w:pPr>
        <w:pStyle w:val="Heading2"/>
        <w:rPr>
          <w:rFonts w:ascii="Palatino" w:hAnsi="Palatino"/>
          <w:lang w:val="en-AU"/>
        </w:rPr>
      </w:pPr>
      <w:r w:rsidRPr="00C73540">
        <w:rPr>
          <w:rFonts w:ascii="Palatino" w:hAnsi="Palatino"/>
          <w:lang w:val="en-AU"/>
        </w:rPr>
        <w:t xml:space="preserve">Overview  </w:t>
      </w:r>
    </w:p>
    <w:p w:rsidR="008C7119" w:rsidRPr="00C73540" w:rsidRDefault="008C7119" w:rsidP="008C7119">
      <w:pPr>
        <w:rPr>
          <w:rFonts w:ascii="Palatino" w:hAnsi="Palatino"/>
          <w:lang w:val="en-AU"/>
        </w:rPr>
      </w:pPr>
      <w:r w:rsidRPr="00C73540">
        <w:rPr>
          <w:rFonts w:ascii="Palatino" w:hAnsi="Palatino"/>
          <w:lang w:val="en-AU"/>
        </w:rPr>
        <w:t xml:space="preserve">At Frog School, Freddie Frog is feeling hopeless compared to his classmates, who freely boast about their abilities.  But when Snake comes along, Freddie has a chance to show his special talent. </w:t>
      </w:r>
    </w:p>
    <w:p w:rsidR="008C7119" w:rsidRPr="00C73540" w:rsidRDefault="008C7119" w:rsidP="008C7119">
      <w:pPr>
        <w:rPr>
          <w:rFonts w:ascii="Palatino" w:hAnsi="Palatino"/>
          <w:lang w:val="en-AU"/>
        </w:rPr>
      </w:pPr>
      <w:r w:rsidRPr="00C73540">
        <w:rPr>
          <w:rFonts w:ascii="Palatino" w:hAnsi="Palatino"/>
          <w:lang w:val="en-AU"/>
        </w:rPr>
        <w:t xml:space="preserve">This humorous play explores bullying in a subtle and non-threatening way.  It also conveys the message that everyone has something special to offer. </w:t>
      </w:r>
    </w:p>
    <w:p w:rsidR="008C7119" w:rsidRPr="00C73540" w:rsidRDefault="008C7119" w:rsidP="008C7119">
      <w:pPr>
        <w:rPr>
          <w:rFonts w:ascii="Palatino" w:hAnsi="Palatino"/>
          <w:lang w:val="en-AU"/>
        </w:rPr>
      </w:pPr>
      <w:r w:rsidRPr="00C73540">
        <w:rPr>
          <w:rFonts w:ascii="Palatino" w:hAnsi="Palatino"/>
          <w:lang w:val="en-AU"/>
        </w:rPr>
        <w:t xml:space="preserve">There is an audio version of the text on the </w:t>
      </w:r>
      <w:r w:rsidRPr="00C73540">
        <w:rPr>
          <w:rFonts w:ascii="Palatino" w:hAnsi="Palatino"/>
          <w:i/>
          <w:lang w:val="en-AU"/>
        </w:rPr>
        <w:t>Junior Journal</w:t>
      </w:r>
      <w:r w:rsidRPr="00C73540">
        <w:rPr>
          <w:rFonts w:ascii="Palatino" w:hAnsi="Palatino"/>
          <w:lang w:val="en-AU"/>
        </w:rPr>
        <w:t xml:space="preserve"> </w:t>
      </w:r>
      <w:r w:rsidRPr="00C73540">
        <w:rPr>
          <w:rFonts w:ascii="Palatino" w:hAnsi="Palatino"/>
          <w:i/>
          <w:lang w:val="en-AU"/>
        </w:rPr>
        <w:t>40 and 41</w:t>
      </w:r>
      <w:r w:rsidRPr="00C73540">
        <w:rPr>
          <w:rFonts w:ascii="Palatino" w:hAnsi="Palatino"/>
          <w:lang w:val="en-AU"/>
        </w:rPr>
        <w:t xml:space="preserve"> CD.</w:t>
      </w:r>
    </w:p>
    <w:p w:rsidR="008C7119" w:rsidRPr="00C73540" w:rsidRDefault="008C7119" w:rsidP="008C7119">
      <w:pPr>
        <w:pStyle w:val="Heading2"/>
        <w:rPr>
          <w:rFonts w:ascii="Palatino" w:hAnsi="Palatino"/>
          <w:lang w:val="en-AU"/>
        </w:rPr>
      </w:pPr>
      <w:r w:rsidRPr="00C73540">
        <w:rPr>
          <w:rFonts w:ascii="Palatino" w:hAnsi="Palatino"/>
          <w:lang w:val="en-AU"/>
        </w:rPr>
        <w:t>Related texts</w:t>
      </w:r>
    </w:p>
    <w:p w:rsidR="008C7119" w:rsidRPr="00C73540" w:rsidRDefault="008C7119" w:rsidP="008C7119">
      <w:pPr>
        <w:pStyle w:val="ListBullet"/>
      </w:pPr>
      <w:r w:rsidRPr="00C73540">
        <w:t>Other humorous plays by Philippa Werry: “Morning Muddle” (JJ 24), “Lucky Dip” (JJ 40)</w:t>
      </w:r>
    </w:p>
    <w:p w:rsidR="008C7119" w:rsidRPr="00C73540" w:rsidRDefault="008C7119" w:rsidP="008C7119">
      <w:pPr>
        <w:pStyle w:val="Heading2"/>
        <w:rPr>
          <w:rFonts w:ascii="Palatino" w:hAnsi="Palatino"/>
          <w:lang w:val="en-AU"/>
        </w:rPr>
      </w:pPr>
      <w:r w:rsidRPr="00C73540">
        <w:rPr>
          <w:rFonts w:ascii="Palatino" w:hAnsi="Palatino"/>
          <w:lang w:val="en-AU"/>
        </w:rPr>
        <w:t>Cross-curriculum links</w:t>
      </w:r>
    </w:p>
    <w:p w:rsidR="008C7119" w:rsidRPr="00C73540" w:rsidRDefault="008C7119" w:rsidP="008C7119">
      <w:pPr>
        <w:pStyle w:val="ListBullet"/>
      </w:pPr>
      <w:r w:rsidRPr="00C73540">
        <w:t>Health and physical education (level 1, relationships) – Demonstrate respect through sharing and co-operation in groups.</w:t>
      </w:r>
    </w:p>
    <w:p w:rsidR="008C7119" w:rsidRPr="00C73540" w:rsidRDefault="008C7119" w:rsidP="008C7119">
      <w:pPr>
        <w:pStyle w:val="Heading2"/>
        <w:rPr>
          <w:rFonts w:ascii="Palatino" w:hAnsi="Palatino"/>
          <w:lang w:val="en-AU"/>
        </w:rPr>
      </w:pPr>
      <w:r w:rsidRPr="00C73540">
        <w:rPr>
          <w:rFonts w:ascii="Palatino" w:hAnsi="Palatino"/>
          <w:lang w:val="en-AU"/>
        </w:rPr>
        <w:t xml:space="preserve">Text characteristics that relate to the reading standard for after three years at school </w:t>
      </w:r>
    </w:p>
    <w:p w:rsidR="008C7119" w:rsidRPr="00C73540" w:rsidRDefault="008C7119" w:rsidP="008C7119">
      <w:pPr>
        <w:pStyle w:val="ListBullet"/>
      </w:pPr>
      <w:r w:rsidRPr="00C73540">
        <w:t>The imaginary setting and context of a frog school</w:t>
      </w:r>
    </w:p>
    <w:p w:rsidR="008C7119" w:rsidRPr="00C73540" w:rsidRDefault="008C7119" w:rsidP="008C7119">
      <w:pPr>
        <w:pStyle w:val="ListBullet"/>
      </w:pPr>
      <w:r w:rsidRPr="00C73540">
        <w:t>Many characters and events</w:t>
      </w:r>
    </w:p>
    <w:p w:rsidR="008C7119" w:rsidRPr="00C73540" w:rsidRDefault="008C7119" w:rsidP="008C7119">
      <w:pPr>
        <w:pStyle w:val="ListBullet"/>
      </w:pPr>
      <w:r w:rsidRPr="00C73540">
        <w:t>A mix of explicit and implicit content within text and illustrations that requires students to make connections between ideas in the text and their prior knowledge in order to make simple inferences, for example:</w:t>
      </w:r>
    </w:p>
    <w:p w:rsidR="008C7119" w:rsidRPr="00C73540" w:rsidRDefault="008C7119" w:rsidP="008C7119">
      <w:pPr>
        <w:pStyle w:val="Listbullet2"/>
        <w:rPr>
          <w:rFonts w:ascii="Palatino" w:hAnsi="Palatino"/>
        </w:rPr>
      </w:pPr>
      <w:r w:rsidRPr="00C73540">
        <w:rPr>
          <w:rFonts w:ascii="Palatino" w:hAnsi="Palatino"/>
        </w:rPr>
        <w:t>the underlying theme of bullying</w:t>
      </w:r>
    </w:p>
    <w:p w:rsidR="008C7119" w:rsidRPr="00C73540" w:rsidRDefault="008C7119" w:rsidP="008C7119">
      <w:pPr>
        <w:pStyle w:val="Listbullet2"/>
        <w:rPr>
          <w:rFonts w:ascii="Palatino" w:hAnsi="Palatino"/>
        </w:rPr>
      </w:pPr>
      <w:r w:rsidRPr="00C73540">
        <w:rPr>
          <w:rFonts w:ascii="Palatino" w:hAnsi="Palatino"/>
        </w:rPr>
        <w:t xml:space="preserve">the message (moral) that everyone has something special to offer </w:t>
      </w:r>
    </w:p>
    <w:p w:rsidR="008C7119" w:rsidRPr="00C73540" w:rsidRDefault="008C7119" w:rsidP="008C7119">
      <w:pPr>
        <w:pStyle w:val="Listbullet2"/>
        <w:rPr>
          <w:rFonts w:ascii="Palatino" w:hAnsi="Palatino"/>
        </w:rPr>
      </w:pPr>
      <w:r w:rsidRPr="00C73540">
        <w:rPr>
          <w:rFonts w:ascii="Palatino" w:hAnsi="Palatino"/>
        </w:rPr>
        <w:t>the characterisation of the frogs and the evil snake, and the reversal of fortune in that Freddy ends up being the hero while the unkind frogs are put in their place</w:t>
      </w:r>
    </w:p>
    <w:p w:rsidR="008C7119" w:rsidRPr="00C73540" w:rsidRDefault="008C7119" w:rsidP="008C7119">
      <w:pPr>
        <w:pStyle w:val="Listbullet2"/>
        <w:rPr>
          <w:rFonts w:ascii="Palatino" w:hAnsi="Palatino"/>
        </w:rPr>
      </w:pPr>
      <w:r w:rsidRPr="00C73540">
        <w:rPr>
          <w:rFonts w:ascii="Palatino" w:hAnsi="Palatino"/>
        </w:rPr>
        <w:t>the humour, especially in the idea of a school for frogs and in the lack of concern about the teacher being eaten</w:t>
      </w:r>
    </w:p>
    <w:p w:rsidR="008C7119" w:rsidRPr="00C73540" w:rsidRDefault="008C7119" w:rsidP="008C7119">
      <w:pPr>
        <w:pStyle w:val="Listbullet2"/>
        <w:rPr>
          <w:rFonts w:ascii="Palatino" w:hAnsi="Palatino"/>
        </w:rPr>
      </w:pPr>
      <w:r w:rsidRPr="00C73540">
        <w:rPr>
          <w:rFonts w:ascii="Palatino" w:hAnsi="Palatino"/>
        </w:rPr>
        <w:t>the illustration on page 30, which clarifies that camouflaged Freddie doesn’t really have a grey cloth over him (the stage directions say that he does only because a performance of the play would require a cloth).</w:t>
      </w:r>
    </w:p>
    <w:p w:rsidR="008C7119" w:rsidRPr="00C73540" w:rsidRDefault="008C7119" w:rsidP="008C7119">
      <w:pPr>
        <w:pStyle w:val="ListBullet"/>
      </w:pPr>
      <w:r w:rsidRPr="00C73540">
        <w:t>Some unfamiliar words and phrases, for example:</w:t>
      </w:r>
    </w:p>
    <w:p w:rsidR="008C7119" w:rsidRPr="00C73540" w:rsidRDefault="008C7119" w:rsidP="008C7119">
      <w:pPr>
        <w:pStyle w:val="Listbullet2"/>
        <w:rPr>
          <w:rFonts w:ascii="Palatino" w:hAnsi="Palatino"/>
        </w:rPr>
      </w:pPr>
      <w:r w:rsidRPr="00C73540">
        <w:rPr>
          <w:rFonts w:ascii="Palatino" w:hAnsi="Palatino"/>
        </w:rPr>
        <w:lastRenderedPageBreak/>
        <w:t>“Professor”, “fabulous froggy tricks”, “fly-catching lesson”, “scatter”, “slithers”, “peering”, “blend in”, “camouflage”</w:t>
      </w:r>
    </w:p>
    <w:p w:rsidR="008C7119" w:rsidRPr="00C73540" w:rsidRDefault="008C7119" w:rsidP="008C7119">
      <w:pPr>
        <w:pStyle w:val="Listbullet2"/>
        <w:rPr>
          <w:rFonts w:ascii="Palatino" w:hAnsi="Palatino"/>
        </w:rPr>
      </w:pPr>
      <w:r w:rsidRPr="00C73540">
        <w:rPr>
          <w:rFonts w:ascii="Palatino" w:hAnsi="Palatino"/>
        </w:rPr>
        <w:t>the made-up word “frogpaddle”</w:t>
      </w:r>
    </w:p>
    <w:p w:rsidR="008C7119" w:rsidRPr="00C73540" w:rsidRDefault="008C7119" w:rsidP="008C7119">
      <w:pPr>
        <w:pStyle w:val="Listbullet2"/>
        <w:rPr>
          <w:rFonts w:ascii="Palatino" w:hAnsi="Palatino"/>
        </w:rPr>
      </w:pPr>
      <w:r w:rsidRPr="00C73540">
        <w:rPr>
          <w:rFonts w:ascii="Palatino" w:hAnsi="Palatino"/>
        </w:rPr>
        <w:t>the support for the meaning of camouflage in the speech: “I just changed colour … to blend in with the rocks” (page 31) and in the text box inside the back cover</w:t>
      </w:r>
    </w:p>
    <w:p w:rsidR="008C7119" w:rsidRPr="00C73540" w:rsidRDefault="008C7119" w:rsidP="008C7119">
      <w:pPr>
        <w:pStyle w:val="Listbullet2"/>
        <w:rPr>
          <w:rFonts w:ascii="Palatino" w:hAnsi="Palatino"/>
        </w:rPr>
      </w:pPr>
      <w:r w:rsidRPr="00C73540">
        <w:rPr>
          <w:rFonts w:ascii="Palatino" w:hAnsi="Palatino"/>
        </w:rPr>
        <w:t>the punctuation that supports the meaning and expressive reading of the play, particularly the bold print and exclamation marks for emphasis, “was-s-s” for the snake’s hiss (sibilance), and the ellipsis for anticipation.</w:t>
      </w:r>
    </w:p>
    <w:p w:rsidR="008C7119" w:rsidRPr="00C73540" w:rsidRDefault="008C7119" w:rsidP="008C7119">
      <w:pPr>
        <w:pStyle w:val="ListBullet"/>
      </w:pPr>
      <w:r w:rsidRPr="00C73540">
        <w:t>The print conventions of a play (visual language features), for example, the character list, which is part of the illustration on page 24, coloured upper-case letters for character names and italics for stage directions.</w:t>
      </w:r>
    </w:p>
    <w:p w:rsidR="008C7119" w:rsidRPr="00C73540" w:rsidRDefault="008C7119" w:rsidP="008C7119">
      <w:pPr>
        <w:pStyle w:val="Heading2"/>
        <w:rPr>
          <w:rFonts w:ascii="Palatino" w:hAnsi="Palatino"/>
          <w:lang w:val="en-AU"/>
        </w:rPr>
      </w:pPr>
      <w:r w:rsidRPr="00C73540">
        <w:rPr>
          <w:rFonts w:ascii="Palatino" w:hAnsi="Palatino"/>
          <w:lang w:val="en-AU"/>
        </w:rPr>
        <w:t>Suggested reading purposes</w:t>
      </w:r>
    </w:p>
    <w:p w:rsidR="008C7119" w:rsidRPr="00C73540" w:rsidRDefault="008C7119" w:rsidP="008C7119">
      <w:pPr>
        <w:rPr>
          <w:rFonts w:ascii="Palatino" w:hAnsi="Palatino"/>
          <w:i/>
        </w:rPr>
      </w:pPr>
      <w:r w:rsidRPr="00C73540">
        <w:rPr>
          <w:rFonts w:ascii="Palatino" w:hAnsi="Palatino"/>
          <w:i/>
        </w:rPr>
        <w:t>(What can the students expect to find out and/or think about as a result of reading this text?)</w:t>
      </w:r>
    </w:p>
    <w:p w:rsidR="008C7119" w:rsidRPr="00C73540" w:rsidRDefault="008C7119" w:rsidP="008C7119">
      <w:pPr>
        <w:pStyle w:val="ListBullet"/>
      </w:pPr>
      <w:r w:rsidRPr="00C73540">
        <w:t xml:space="preserve">To find out what happens at a “frog school” and what we can learn from the ways the characters behave </w:t>
      </w:r>
    </w:p>
    <w:p w:rsidR="008C7119" w:rsidRPr="00C73540" w:rsidRDefault="008C7119" w:rsidP="008C7119">
      <w:pPr>
        <w:pStyle w:val="ListBullet"/>
      </w:pPr>
      <w:r w:rsidRPr="00C73540">
        <w:t xml:space="preserve">To find clues that will help us to read this play for an audience. </w:t>
      </w:r>
    </w:p>
    <w:p w:rsidR="008C7119" w:rsidRPr="00C73540" w:rsidRDefault="008C7119" w:rsidP="008C7119">
      <w:pPr>
        <w:pStyle w:val="Heading2"/>
        <w:rPr>
          <w:rFonts w:ascii="Palatino" w:hAnsi="Palatino"/>
          <w:lang w:val="en-AU"/>
        </w:rPr>
      </w:pPr>
      <w:r w:rsidRPr="00C73540">
        <w:rPr>
          <w:rFonts w:ascii="Palatino" w:hAnsi="Palatino"/>
          <w:lang w:val="en-AU"/>
        </w:rPr>
        <w:t>Setting a learning goal</w:t>
      </w:r>
    </w:p>
    <w:p w:rsidR="008C7119" w:rsidRPr="00C73540" w:rsidRDefault="008C7119" w:rsidP="008C7119">
      <w:pPr>
        <w:rPr>
          <w:rFonts w:ascii="Palatino" w:hAnsi="Palatino"/>
          <w:i/>
          <w:lang w:val="en-AU"/>
        </w:rPr>
      </w:pPr>
      <w:r w:rsidRPr="00C73540">
        <w:rPr>
          <w:rFonts w:ascii="Palatino" w:hAnsi="Palatino"/>
          <w:i/>
          <w:lang w:val="en-AU"/>
        </w:rPr>
        <w:t xml:space="preserve">(What opportunities does this text provide for students to learn more about how to “read, respond to, and think critically about” texts?) </w:t>
      </w:r>
    </w:p>
    <w:p w:rsidR="008C7119" w:rsidRPr="00C73540" w:rsidRDefault="008C7119" w:rsidP="008C7119">
      <w:pPr>
        <w:rPr>
          <w:rFonts w:ascii="Palatino" w:hAnsi="Palatino"/>
          <w:lang w:val="en-AU"/>
        </w:rPr>
      </w:pPr>
      <w:r w:rsidRPr="00C73540">
        <w:rPr>
          <w:rFonts w:ascii="Palatino" w:hAnsi="Palatino"/>
          <w:lang w:val="en-AU"/>
        </w:rPr>
        <w:t>To meet the reading purpose, students need to draw on a range of comprehension and processing strategies, often simultaneously.  Select and adapt from those below to set your learning goal.  Be guided by your students’ particular needs and experiences: who they are, where they come from, and what they bring (</w:t>
      </w:r>
      <w:r w:rsidRPr="00C73540">
        <w:rPr>
          <w:rFonts w:ascii="Palatino" w:hAnsi="Palatino"/>
          <w:i/>
          <w:lang w:val="en-AU"/>
        </w:rPr>
        <w:t>Reading and Writing Standards for Years 1–8</w:t>
      </w:r>
      <w:r w:rsidRPr="00C73540">
        <w:rPr>
          <w:rFonts w:ascii="Palatino" w:hAnsi="Palatino"/>
          <w:lang w:val="en-AU"/>
        </w:rPr>
        <w:t>, Knowledge of the learner, page 6).</w:t>
      </w:r>
    </w:p>
    <w:p w:rsidR="008C7119" w:rsidRPr="00C73540" w:rsidRDefault="008C7119" w:rsidP="008C7119">
      <w:pPr>
        <w:rPr>
          <w:rFonts w:ascii="Palatino" w:hAnsi="Palatino"/>
          <w:lang w:val="en-AU"/>
        </w:rPr>
      </w:pPr>
      <w:r w:rsidRPr="00C73540">
        <w:rPr>
          <w:rFonts w:ascii="Palatino" w:hAnsi="Palatino"/>
          <w:lang w:val="en-AU"/>
        </w:rPr>
        <w:t>This text provides opportunities for students to:</w:t>
      </w:r>
    </w:p>
    <w:p w:rsidR="008C7119" w:rsidRPr="00C73540" w:rsidRDefault="008C7119" w:rsidP="008C7119">
      <w:pPr>
        <w:pStyle w:val="ListBullet"/>
      </w:pPr>
      <w:r w:rsidRPr="00C73540">
        <w:t xml:space="preserve">use clues in the text and illustrations to infer what the characters are like and to form hypotheses about what’s going to happen </w:t>
      </w:r>
    </w:p>
    <w:p w:rsidR="008C7119" w:rsidRPr="00C73540" w:rsidRDefault="008C7119" w:rsidP="008C7119">
      <w:pPr>
        <w:pStyle w:val="ListBullet"/>
      </w:pPr>
      <w:r w:rsidRPr="00C73540">
        <w:t>infer the underlying message (main idea)</w:t>
      </w:r>
    </w:p>
    <w:p w:rsidR="008C7119" w:rsidRPr="00C73540" w:rsidRDefault="008C7119" w:rsidP="008C7119">
      <w:pPr>
        <w:pStyle w:val="ListBullet"/>
      </w:pPr>
      <w:r w:rsidRPr="00C73540">
        <w:t>demonstrate</w:t>
      </w:r>
      <w:r w:rsidRPr="00C73540">
        <w:rPr>
          <w:b/>
        </w:rPr>
        <w:t xml:space="preserve"> </w:t>
      </w:r>
      <w:r w:rsidRPr="00C73540">
        <w:t>how the characters might speak and move, using textual and visual clues and their knowledge of frogs.</w:t>
      </w:r>
    </w:p>
    <w:p w:rsidR="008C7119" w:rsidRPr="00C73540" w:rsidRDefault="008C7119" w:rsidP="008C7119">
      <w:pPr>
        <w:widowControl w:val="0"/>
        <w:autoSpaceDE w:val="0"/>
        <w:autoSpaceDN w:val="0"/>
        <w:adjustRightInd w:val="0"/>
        <w:spacing w:before="120" w:after="120"/>
        <w:ind w:right="334"/>
        <w:rPr>
          <w:rFonts w:ascii="Palatino" w:hAnsi="Palatino"/>
          <w:b/>
          <w:sz w:val="28"/>
          <w:lang w:val="en-AU"/>
        </w:rPr>
      </w:pPr>
      <w:r w:rsidRPr="00C73540">
        <w:rPr>
          <w:rFonts w:ascii="Palatino" w:hAnsi="Palatino"/>
          <w:b/>
          <w:sz w:val="28"/>
          <w:lang w:val="en-AU"/>
        </w:rPr>
        <w:t xml:space="preserve">Introducing the text </w:t>
      </w:r>
    </w:p>
    <w:p w:rsidR="008C7119" w:rsidRPr="00C73540" w:rsidRDefault="008C7119" w:rsidP="008C7119">
      <w:pPr>
        <w:pStyle w:val="ListBullet"/>
        <w:rPr>
          <w:i/>
        </w:rPr>
      </w:pPr>
      <w:r w:rsidRPr="00C73540">
        <w:t xml:space="preserve">Look at the title, author, and illustrations on the first two pages.  </w:t>
      </w:r>
      <w:r w:rsidRPr="00C73540">
        <w:rPr>
          <w:i/>
        </w:rPr>
        <w:t xml:space="preserve">What sort of play do you think this might be?  Why?  </w:t>
      </w:r>
    </w:p>
    <w:p w:rsidR="008C7119" w:rsidRPr="00C73540" w:rsidRDefault="008C7119" w:rsidP="008C7119">
      <w:pPr>
        <w:pStyle w:val="ListBullet"/>
        <w:rPr>
          <w:i/>
        </w:rPr>
      </w:pPr>
      <w:r w:rsidRPr="00C73540">
        <w:t xml:space="preserve">If the students don’t immediately predict that the play looks humorous, prompt them to remember other plays by Philippa Werry and ask them for words to describe the illustrations.  Also ask them to consider how realistic the idea of a frog school is.  </w:t>
      </w:r>
      <w:r w:rsidRPr="00C73540">
        <w:rPr>
          <w:i/>
        </w:rPr>
        <w:t xml:space="preserve">I wonder what the frogs might do at Frog School?  Let’s read to find out.  </w:t>
      </w:r>
    </w:p>
    <w:p w:rsidR="008C7119" w:rsidRPr="00C73540" w:rsidRDefault="008C7119" w:rsidP="008C7119">
      <w:pPr>
        <w:pStyle w:val="ListBullet"/>
      </w:pPr>
      <w:r w:rsidRPr="00C73540">
        <w:t xml:space="preserve">Share the reading purpose and learning goal(s) with the students.  </w:t>
      </w:r>
      <w:r w:rsidRPr="00C73540">
        <w:rPr>
          <w:i/>
        </w:rPr>
        <w:t>We can see that this is going to be a humorous play, but it also has a message.</w:t>
      </w:r>
      <w:r w:rsidRPr="00C73540">
        <w:t xml:space="preserve">  </w:t>
      </w:r>
      <w:r w:rsidRPr="00C73540">
        <w:rPr>
          <w:i/>
        </w:rPr>
        <w:t>Keep this in mind as you read.</w:t>
      </w:r>
    </w:p>
    <w:p w:rsidR="008C7119" w:rsidRPr="00C73540" w:rsidRDefault="008C7119" w:rsidP="008C7119">
      <w:pPr>
        <w:pStyle w:val="ListBullet"/>
      </w:pPr>
      <w:r w:rsidRPr="00C73540">
        <w:lastRenderedPageBreak/>
        <w:t>Explain that the students will read the play together as a guided text before any roles are assigned to particular students.</w:t>
      </w:r>
    </w:p>
    <w:p w:rsidR="008C7119" w:rsidRPr="00C73540" w:rsidRDefault="008C7119" w:rsidP="008C7119">
      <w:pPr>
        <w:pStyle w:val="Heading2"/>
        <w:rPr>
          <w:rFonts w:ascii="Palatino" w:hAnsi="Palatino"/>
          <w:lang w:val="en-AU"/>
        </w:rPr>
      </w:pPr>
      <w:r w:rsidRPr="00C73540">
        <w:rPr>
          <w:rFonts w:ascii="Palatino" w:hAnsi="Palatino"/>
          <w:lang w:val="en-AU"/>
        </w:rPr>
        <w:t>Reading and discussing the text</w:t>
      </w:r>
    </w:p>
    <w:p w:rsidR="008C7119" w:rsidRPr="00C73540" w:rsidRDefault="008C7119" w:rsidP="008C7119">
      <w:pPr>
        <w:widowControl w:val="0"/>
        <w:autoSpaceDE w:val="0"/>
        <w:autoSpaceDN w:val="0"/>
        <w:adjustRightInd w:val="0"/>
        <w:spacing w:after="120"/>
        <w:ind w:right="334"/>
        <w:rPr>
          <w:rFonts w:ascii="Palatino" w:hAnsi="Palatino"/>
          <w:lang w:val="en-AU"/>
        </w:rPr>
      </w:pPr>
      <w:r w:rsidRPr="00C73540">
        <w:rPr>
          <w:rFonts w:ascii="Palatino" w:hAnsi="Palatino"/>
          <w:lang w:val="en-AU"/>
        </w:rPr>
        <w:t xml:space="preserve">Below are some behaviours you could expect to see as the students read and discuss this text.  Each example is accompanied by suggested instructional strategies you can use to scaffold their learning.  Select and adapt from the suggestions, according to your students’ needs and experiences. </w:t>
      </w:r>
    </w:p>
    <w:p w:rsidR="008C7119" w:rsidRPr="00C73540" w:rsidRDefault="008C7119" w:rsidP="008C7119">
      <w:pPr>
        <w:pStyle w:val="Heading4-keybehaviours"/>
        <w:rPr>
          <w:rFonts w:ascii="Palatino" w:hAnsi="Palatino"/>
          <w:lang w:val="en-AU"/>
        </w:rPr>
      </w:pPr>
      <w:r w:rsidRPr="00C73540">
        <w:rPr>
          <w:rFonts w:ascii="Palatino" w:hAnsi="Palatino"/>
          <w:lang w:val="en-AU"/>
        </w:rPr>
        <w:t>The students use clues in the text and in the illustrations to infer what the characters are like and form hypotheses about what will happen.</w:t>
      </w:r>
    </w:p>
    <w:p w:rsidR="008C7119" w:rsidRPr="00C73540" w:rsidRDefault="008C7119" w:rsidP="008C7119">
      <w:pPr>
        <w:pStyle w:val="ListBullet"/>
      </w:pPr>
      <w:r w:rsidRPr="00C73540">
        <w:t xml:space="preserve">By the end of page 25 (and certainly by the end of page 26), the students should start to recognise Freddie’s humility and lack of confidence compared with his classmates’ boastfulness.  If not, prompt them in this direction: </w:t>
      </w:r>
      <w:r w:rsidRPr="00C73540">
        <w:rPr>
          <w:i/>
        </w:rPr>
        <w:t>How is Freddie different from the others?</w:t>
      </w:r>
      <w:r w:rsidRPr="00C73540">
        <w:t xml:space="preserve">  Prompt them to consider the illustrations as well as the text. </w:t>
      </w:r>
    </w:p>
    <w:p w:rsidR="008C7119" w:rsidRPr="00C73540" w:rsidRDefault="008C7119" w:rsidP="008C7119">
      <w:pPr>
        <w:pStyle w:val="ListBullet"/>
      </w:pPr>
      <w:r w:rsidRPr="00C73540">
        <w:t xml:space="preserve">Page 27 (where signs of bullying enter) would be a useful place to encourage students to form hypotheses about what will happen next.  Expect comments such as “His classmates are too confident – something will happen” or “Freddie will be OK in the end – there’s usually a twist in the ending.” </w:t>
      </w:r>
    </w:p>
    <w:p w:rsidR="008C7119" w:rsidRPr="00C73540" w:rsidRDefault="008C7119" w:rsidP="008C7119">
      <w:pPr>
        <w:pStyle w:val="ListBullet"/>
        <w:rPr>
          <w:i/>
        </w:rPr>
      </w:pPr>
      <w:r w:rsidRPr="00C73540">
        <w:t xml:space="preserve">After reading page 27, ask for words to describe how Freddie’s classmates are behaving.  Notice whether the students raise the idea of bullying or pinpoint the final two lines.  If not, draw attention to them.  </w:t>
      </w:r>
      <w:r w:rsidRPr="00C73540">
        <w:rPr>
          <w:i/>
        </w:rPr>
        <w:t>What is Freddie like?</w:t>
      </w:r>
      <w:r w:rsidRPr="00C73540">
        <w:t xml:space="preserve">  Also discuss the professor’s role – </w:t>
      </w:r>
      <w:r w:rsidRPr="00C73540">
        <w:rPr>
          <w:i/>
        </w:rPr>
        <w:t xml:space="preserve">What do you think about his reaction to Freddie and the others? </w:t>
      </w:r>
    </w:p>
    <w:p w:rsidR="008C7119" w:rsidRPr="00C73540" w:rsidRDefault="008C7119" w:rsidP="008C7119">
      <w:pPr>
        <w:pStyle w:val="ListBullet"/>
      </w:pPr>
      <w:r w:rsidRPr="00C73540">
        <w:t xml:space="preserve">Note that page 28 offers a clue to Freddie’s hidden talents. </w:t>
      </w:r>
    </w:p>
    <w:p w:rsidR="008C7119" w:rsidRPr="00C73540" w:rsidRDefault="008C7119" w:rsidP="008C7119">
      <w:pPr>
        <w:pStyle w:val="ListBullet"/>
      </w:pPr>
      <w:r w:rsidRPr="00C73540">
        <w:t xml:space="preserve">After reading to the end of page 29, have the students review their earlier hypotheses.  </w:t>
      </w:r>
      <w:r w:rsidRPr="00C73540">
        <w:rPr>
          <w:i/>
        </w:rPr>
        <w:t xml:space="preserve">We still don’t know what Freddie’s going to do, but there’s a real problem here and we know </w:t>
      </w:r>
      <w:r w:rsidRPr="00C73540">
        <w:rPr>
          <w:rStyle w:val="Italics"/>
          <w:b/>
        </w:rPr>
        <w:t>something</w:t>
      </w:r>
      <w:r w:rsidRPr="00C73540">
        <w:rPr>
          <w:b/>
          <w:i/>
        </w:rPr>
        <w:t xml:space="preserve"> </w:t>
      </w:r>
      <w:r w:rsidRPr="00C73540">
        <w:rPr>
          <w:i/>
        </w:rPr>
        <w:t xml:space="preserve">is going to happen. </w:t>
      </w:r>
      <w:r w:rsidRPr="00C73540">
        <w:t xml:space="preserve"> Encourage the students to share their ideas on which frog Snake will (or should) eat and what Freddie’s role might be.  </w:t>
      </w:r>
    </w:p>
    <w:p w:rsidR="008C7119" w:rsidRPr="00C73540" w:rsidRDefault="008C7119" w:rsidP="008C7119">
      <w:pPr>
        <w:pStyle w:val="ListBullet"/>
      </w:pPr>
      <w:r w:rsidRPr="00C73540">
        <w:t xml:space="preserve">Before the students read to the end (including the inside back cover), signal that there’s a tricky stage direction on the next page that you will discuss later. </w:t>
      </w:r>
    </w:p>
    <w:p w:rsidR="008C7119" w:rsidRPr="00C73540" w:rsidRDefault="008C7119" w:rsidP="008C7119">
      <w:pPr>
        <w:pStyle w:val="ListBullet"/>
        <w:rPr>
          <w:i/>
        </w:rPr>
      </w:pPr>
      <w:r w:rsidRPr="00C73540">
        <w:t xml:space="preserve">The final page offers plenty of scope for discussing the lack of reaction to the professor’s plight and Freddie’s forgiving nature.  Ask questions to encourage the students’ thinking about Freddie.  </w:t>
      </w:r>
      <w:r w:rsidRPr="00C73540">
        <w:rPr>
          <w:i/>
        </w:rPr>
        <w:t>How has the relationship between the classmates changed?  What do you think about this and why?</w:t>
      </w:r>
    </w:p>
    <w:p w:rsidR="008C7119" w:rsidRPr="00C73540" w:rsidRDefault="008C7119" w:rsidP="008C7119">
      <w:pPr>
        <w:pStyle w:val="ListBullet"/>
      </w:pPr>
      <w:r w:rsidRPr="00C73540">
        <w:t xml:space="preserve">Revisit the learning goal and support the students to summarise how they met it.  </w:t>
      </w:r>
      <w:r w:rsidRPr="00C73540">
        <w:rPr>
          <w:i/>
        </w:rPr>
        <w:t>How did thinking about the characters help you form hypotheses about what would happen?</w:t>
      </w:r>
      <w:r w:rsidRPr="00C73540">
        <w:t xml:space="preserve"> </w:t>
      </w:r>
      <w:r w:rsidRPr="00C73540">
        <w:rPr>
          <w:i/>
        </w:rPr>
        <w:t xml:space="preserve">Did anything surprise you?  </w:t>
      </w:r>
      <w:r w:rsidRPr="00C73540">
        <w:t>For example, the student frogs behave badly and the snake is definitely a villain, but it’s the teacher who gets eaten.  Draw out the idea that surprises like this are what help to make the play funny.</w:t>
      </w:r>
    </w:p>
    <w:p w:rsidR="008C7119" w:rsidRPr="00C73540" w:rsidRDefault="008C7119" w:rsidP="008C7119">
      <w:pPr>
        <w:pStyle w:val="Heading4-keybehaviours"/>
        <w:rPr>
          <w:rFonts w:ascii="Palatino" w:hAnsi="Palatino"/>
        </w:rPr>
      </w:pPr>
      <w:r w:rsidRPr="00C73540">
        <w:rPr>
          <w:rFonts w:ascii="Palatino" w:hAnsi="Palatino"/>
        </w:rPr>
        <w:t>The students make connections to their own life experiences to infer the underlying message.</w:t>
      </w:r>
    </w:p>
    <w:p w:rsidR="008C7119" w:rsidRPr="00C73540" w:rsidRDefault="008C7119" w:rsidP="008C7119">
      <w:pPr>
        <w:pStyle w:val="ListBullet"/>
        <w:rPr>
          <w:i/>
        </w:rPr>
      </w:pPr>
      <w:r w:rsidRPr="00C73540">
        <w:t xml:space="preserve">Refer to the previous discussion (above) and encourage the students to share their opinions of the characters and their thoughts about the main ideas in the play.  </w:t>
      </w:r>
      <w:r w:rsidRPr="00C73540">
        <w:rPr>
          <w:i/>
        </w:rPr>
        <w:t>What message does this text have about how we treat other people?</w:t>
      </w:r>
    </w:p>
    <w:p w:rsidR="008C7119" w:rsidRPr="00C73540" w:rsidRDefault="008C7119" w:rsidP="008C7119">
      <w:pPr>
        <w:pStyle w:val="Heading4-keybehaviours"/>
        <w:rPr>
          <w:rFonts w:ascii="Palatino" w:hAnsi="Palatino"/>
          <w:lang w:val="en-AU"/>
        </w:rPr>
      </w:pPr>
      <w:r w:rsidRPr="00C73540">
        <w:rPr>
          <w:rFonts w:ascii="Palatino" w:hAnsi="Palatino"/>
          <w:lang w:val="en-AU"/>
        </w:rPr>
        <w:t>The students can make connections between information in the text and the idea that this is a play (with instructions for performance) to explain how Freddy escaped.</w:t>
      </w:r>
    </w:p>
    <w:p w:rsidR="008C7119" w:rsidRPr="00C73540" w:rsidRDefault="008C7119" w:rsidP="008C7119">
      <w:pPr>
        <w:pStyle w:val="ListBullet"/>
      </w:pPr>
      <w:r w:rsidRPr="00C73540">
        <w:t xml:space="preserve">The students should be able to explain the concept of camouflage to you, using the information on page 31 and the clarification on the inside back cover.  However, the connection between the </w:t>
      </w:r>
      <w:r w:rsidRPr="00C73540">
        <w:lastRenderedPageBreak/>
        <w:t>idea of camouflage and how it would need to be portrayed on stage (using the stage directions on page 30) may confuse some readers.</w:t>
      </w:r>
    </w:p>
    <w:p w:rsidR="008C7119" w:rsidRPr="00C73540" w:rsidRDefault="008C7119" w:rsidP="008C7119">
      <w:pPr>
        <w:pStyle w:val="ListBullet"/>
        <w:rPr>
          <w:b/>
          <w:sz w:val="28"/>
        </w:rPr>
      </w:pPr>
      <w:r w:rsidRPr="00C73540">
        <w:t xml:space="preserve">If the students say that Freddie hid under a grey cloth to escape, revisit that text on page 30.  </w:t>
      </w:r>
      <w:r w:rsidRPr="00C73540">
        <w:rPr>
          <w:i/>
        </w:rPr>
        <w:t>Does he really put a cloth over himself?</w:t>
      </w:r>
      <w:r w:rsidRPr="00C73540">
        <w:t xml:space="preserve">  Draw attention to the italics and ask the students what they mean (stage directions).  Clarify that the names in capital letters refer to characters played by real-life actors.  Draw out the difference between the play as a story and the practicalities of performance: </w:t>
      </w:r>
      <w:r w:rsidRPr="00C73540">
        <w:rPr>
          <w:i/>
        </w:rPr>
        <w:t xml:space="preserve">This is a play, and actors can’t change colour …  </w:t>
      </w:r>
      <w:r w:rsidRPr="00C73540">
        <w:t>It may be helpful to make a connection to students’ understanding of special effects in film.</w:t>
      </w:r>
    </w:p>
    <w:p w:rsidR="008C7119" w:rsidRPr="00C73540" w:rsidRDefault="008C7119" w:rsidP="008C7119">
      <w:pPr>
        <w:widowControl w:val="0"/>
        <w:autoSpaceDE w:val="0"/>
        <w:autoSpaceDN w:val="0"/>
        <w:adjustRightInd w:val="0"/>
        <w:spacing w:before="120" w:after="120"/>
        <w:ind w:right="334"/>
        <w:rPr>
          <w:rFonts w:ascii="Palatino" w:hAnsi="Palatino"/>
          <w:b/>
          <w:sz w:val="28"/>
          <w:lang w:val="en-AU"/>
        </w:rPr>
      </w:pPr>
      <w:r w:rsidRPr="00C73540">
        <w:rPr>
          <w:rFonts w:ascii="Palatino" w:hAnsi="Palatino"/>
          <w:b/>
          <w:sz w:val="28"/>
          <w:lang w:val="en-AU"/>
        </w:rPr>
        <w:t xml:space="preserve">After reading </w:t>
      </w:r>
    </w:p>
    <w:p w:rsidR="008C7119" w:rsidRPr="00C73540" w:rsidRDefault="008C7119" w:rsidP="008C7119">
      <w:pPr>
        <w:pStyle w:val="ListBullet"/>
      </w:pPr>
      <w:r w:rsidRPr="00C73540">
        <w:t xml:space="preserve">Explore the narrative structure in more detail.  Consider the role of Snake as the character who changes the direction of the play (turning point).  You could map the structure out, showing key changes and who is involved. </w:t>
      </w:r>
    </w:p>
    <w:p w:rsidR="008C7119" w:rsidRPr="00C73540" w:rsidRDefault="008C7119" w:rsidP="008C7119">
      <w:pPr>
        <w:pStyle w:val="ListBullet"/>
      </w:pPr>
      <w:r w:rsidRPr="00C73540">
        <w:t xml:space="preserve">If necessary, explore further the meaning of camouflage.  Establish that in the play, the actor must turn the same colour as the surroundings. </w:t>
      </w:r>
    </w:p>
    <w:p w:rsidR="008C7119" w:rsidRPr="00C73540" w:rsidRDefault="008C7119" w:rsidP="008C7119">
      <w:pPr>
        <w:pStyle w:val="ListBullet"/>
      </w:pPr>
      <w:r w:rsidRPr="00C73540">
        <w:t xml:space="preserve">Have the students share with a partner any words they found difficult and the strategies they used to work them out.  Listen to the discussions.  Do you need to follow up on any decoding strategies, particular words, or features of words?  </w:t>
      </w:r>
    </w:p>
    <w:p w:rsidR="008C7119" w:rsidRPr="00C73540" w:rsidRDefault="008C7119" w:rsidP="008C7119">
      <w:pPr>
        <w:pStyle w:val="Heading4-keybehaviours"/>
        <w:rPr>
          <w:rFonts w:ascii="Palatino" w:hAnsi="Palatino"/>
          <w:lang w:val="en-AU"/>
        </w:rPr>
      </w:pPr>
      <w:r w:rsidRPr="00C73540">
        <w:rPr>
          <w:rFonts w:ascii="Palatino" w:hAnsi="Palatino"/>
          <w:lang w:val="en-AU"/>
        </w:rPr>
        <w:t>Demonstrate</w:t>
      </w:r>
      <w:r w:rsidRPr="00C73540">
        <w:rPr>
          <w:rFonts w:ascii="Palatino" w:hAnsi="Palatino"/>
          <w:b w:val="0"/>
          <w:lang w:val="en-AU"/>
        </w:rPr>
        <w:t xml:space="preserve"> </w:t>
      </w:r>
      <w:r w:rsidRPr="00C73540">
        <w:rPr>
          <w:rFonts w:ascii="Palatino" w:hAnsi="Palatino"/>
          <w:lang w:val="en-AU"/>
        </w:rPr>
        <w:t xml:space="preserve">how the characters might speak and move, guided by text and visual clues and their own knowledge of frogs. </w:t>
      </w:r>
    </w:p>
    <w:p w:rsidR="008C7119" w:rsidRPr="00C73540" w:rsidRDefault="008C7119" w:rsidP="008C7119">
      <w:pPr>
        <w:pStyle w:val="ListBullet"/>
      </w:pPr>
      <w:r w:rsidRPr="00C73540">
        <w:t xml:space="preserve">The students in pairs or small groups can practise reading the play.  Have them think about how the characters would speak and move, taking into account their previous character inferences, their knowledge of frogs, the illustrations, and the stage directions.  </w:t>
      </w:r>
    </w:p>
    <w:p w:rsidR="008C7119" w:rsidRPr="00C73540" w:rsidRDefault="008C7119" w:rsidP="008C7119">
      <w:pPr>
        <w:pStyle w:val="ListBullet"/>
      </w:pPr>
      <w:r w:rsidRPr="00C73540">
        <w:t xml:space="preserve">The characters can listen to the audio version of the text on the </w:t>
      </w:r>
      <w:r w:rsidRPr="00C73540">
        <w:rPr>
          <w:rStyle w:val="Italics"/>
        </w:rPr>
        <w:t>Junior Journal</w:t>
      </w:r>
      <w:r w:rsidRPr="00C73540">
        <w:rPr>
          <w:rStyle w:val="Italics"/>
          <w:i w:val="0"/>
        </w:rPr>
        <w:t xml:space="preserve"> </w:t>
      </w:r>
      <w:r w:rsidRPr="00C73540">
        <w:rPr>
          <w:rStyle w:val="Italics"/>
        </w:rPr>
        <w:t>40 and 41</w:t>
      </w:r>
      <w:r w:rsidRPr="00C73540">
        <w:t xml:space="preserve"> CD.  This models dramatic reading.  They could also take the play home to read with their family.  </w:t>
      </w:r>
    </w:p>
    <w:p w:rsidR="008C7119" w:rsidRPr="00C73540" w:rsidRDefault="008C7119" w:rsidP="008C7119">
      <w:pPr>
        <w:pStyle w:val="ListBullet"/>
        <w:rPr>
          <w:i/>
        </w:rPr>
      </w:pPr>
      <w:r w:rsidRPr="00C73540">
        <w:t xml:space="preserve">In another session, the students can perform the play for an audience and later share their ideas and experiences.  </w:t>
      </w:r>
      <w:r w:rsidRPr="00C73540">
        <w:rPr>
          <w:i/>
        </w:rPr>
        <w:t xml:space="preserve">How would you describe your character? </w:t>
      </w:r>
    </w:p>
    <w:p w:rsidR="008C7119" w:rsidRPr="00C73540" w:rsidRDefault="008C7119" w:rsidP="008C7119"/>
    <w:p w:rsidR="008C7119" w:rsidRPr="00C73540" w:rsidRDefault="008C7119" w:rsidP="008C7119"/>
    <w:p w:rsidR="008C7119" w:rsidRPr="00C73540" w:rsidRDefault="008C7119" w:rsidP="008C7119"/>
    <w:p w:rsidR="008C7119" w:rsidRPr="00C73540" w:rsidRDefault="008C7119" w:rsidP="008C7119"/>
    <w:p w:rsidR="00EE4050" w:rsidRPr="008C7119" w:rsidRDefault="00EE4050" w:rsidP="008C7119"/>
    <w:sectPr w:rsidR="00EE4050" w:rsidRPr="008C7119" w:rsidSect="002F27D3">
      <w:footerReference w:type="default" r:id="rId11"/>
      <w:pgSz w:w="11907" w:h="16839" w:code="9"/>
      <w:pgMar w:top="1134" w:right="1134" w:bottom="1134" w:left="1134" w:header="56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C5C" w:rsidRDefault="003E1C5C" w:rsidP="00221D12">
      <w:r>
        <w:separator/>
      </w:r>
    </w:p>
  </w:endnote>
  <w:endnote w:type="continuationSeparator" w:id="1">
    <w:p w:rsidR="003E1C5C" w:rsidRDefault="003E1C5C" w:rsidP="00221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Palatino">
    <w:altName w:val="Book Antiqua"/>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61" w:rsidRPr="00A01B8D" w:rsidRDefault="0065083A" w:rsidP="00A01B8D">
    <w:pPr>
      <w:pStyle w:val="Footer"/>
      <w:pBdr>
        <w:top w:val="single" w:sz="2" w:space="1" w:color="A8A89D"/>
      </w:pBdr>
      <w:tabs>
        <w:tab w:val="clear" w:pos="4680"/>
        <w:tab w:val="clear" w:pos="9360"/>
        <w:tab w:val="right" w:pos="9639"/>
      </w:tabs>
      <w:spacing w:before="120" w:after="0"/>
      <w:rPr>
        <w:sz w:val="16"/>
      </w:rPr>
    </w:pPr>
    <w:r w:rsidRPr="00A01B8D">
      <w:rPr>
        <w:sz w:val="16"/>
      </w:rPr>
      <w:fldChar w:fldCharType="begin"/>
    </w:r>
    <w:r w:rsidR="00A01B8D" w:rsidRPr="00A01B8D">
      <w:rPr>
        <w:sz w:val="16"/>
      </w:rPr>
      <w:instrText xml:space="preserve"> FILENAME  \* Lower \p </w:instrText>
    </w:r>
    <w:r w:rsidRPr="00A01B8D">
      <w:rPr>
        <w:sz w:val="16"/>
      </w:rPr>
      <w:fldChar w:fldCharType="separate"/>
    </w:r>
    <w:r w:rsidR="00A01B8D" w:rsidRPr="00A01B8D">
      <w:rPr>
        <w:noProof/>
        <w:sz w:val="16"/>
      </w:rPr>
      <w:t>c:\documents and settings\suziw\application data\microsoft\templates\normal.dotm</w:t>
    </w:r>
    <w:r w:rsidRPr="00A01B8D">
      <w:rPr>
        <w:sz w:val="16"/>
      </w:rPr>
      <w:fldChar w:fldCharType="end"/>
    </w:r>
    <w:r w:rsidR="00905061" w:rsidRPr="00A01B8D">
      <w:rPr>
        <w:sz w:val="16"/>
      </w:rPr>
      <w:tab/>
      <w:t xml:space="preserve">Page </w:t>
    </w:r>
    <w:r w:rsidRPr="00A01B8D">
      <w:rPr>
        <w:sz w:val="16"/>
      </w:rPr>
      <w:fldChar w:fldCharType="begin"/>
    </w:r>
    <w:r w:rsidR="003A3397" w:rsidRPr="00A01B8D">
      <w:rPr>
        <w:sz w:val="16"/>
      </w:rPr>
      <w:instrText xml:space="preserve"> PAGE   \* MERGEFORMAT </w:instrText>
    </w:r>
    <w:r w:rsidRPr="00A01B8D">
      <w:rPr>
        <w:sz w:val="16"/>
      </w:rPr>
      <w:fldChar w:fldCharType="separate"/>
    </w:r>
    <w:r w:rsidR="008C7119">
      <w:rPr>
        <w:noProof/>
        <w:sz w:val="16"/>
      </w:rPr>
      <w:t>1</w:t>
    </w:r>
    <w:r w:rsidRPr="00A01B8D">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C5C" w:rsidRDefault="003E1C5C" w:rsidP="00221D12">
      <w:r>
        <w:separator/>
      </w:r>
    </w:p>
  </w:footnote>
  <w:footnote w:type="continuationSeparator" w:id="1">
    <w:p w:rsidR="003E1C5C" w:rsidRDefault="003E1C5C" w:rsidP="00221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33DC"/>
    <w:multiLevelType w:val="hybridMultilevel"/>
    <w:tmpl w:val="D04EE3A8"/>
    <w:lvl w:ilvl="0" w:tplc="47C24BC0">
      <w:start w:val="1"/>
      <w:numFmt w:val="decimal"/>
      <w:lvlText w:val="%1."/>
      <w:lvlJc w:val="left"/>
      <w:pPr>
        <w:ind w:left="360" w:hanging="360"/>
      </w:pPr>
      <w:rPr>
        <w:rFonts w:hint="default"/>
        <w:color w:val="8EBD3F"/>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3FB3B23"/>
    <w:multiLevelType w:val="hybridMultilevel"/>
    <w:tmpl w:val="01AECDE6"/>
    <w:lvl w:ilvl="0" w:tplc="A93AB076">
      <w:start w:val="1"/>
      <w:numFmt w:val="decimal"/>
      <w:pStyle w:val="Table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1C9242FB"/>
    <w:multiLevelType w:val="hybridMultilevel"/>
    <w:tmpl w:val="E1C850AE"/>
    <w:lvl w:ilvl="0" w:tplc="BC861174">
      <w:start w:val="1"/>
      <w:numFmt w:val="bullet"/>
      <w:pStyle w:val="Bullet1"/>
      <w:lvlText w:val="●"/>
      <w:lvlJc w:val="left"/>
      <w:pPr>
        <w:ind w:left="360" w:hanging="360"/>
      </w:pPr>
      <w:rPr>
        <w:rFonts w:ascii="Tahoma" w:hAnsi="Tahoma" w:hint="default"/>
        <w:b/>
        <w:i w:val="0"/>
        <w:color w:val="8EBD3F"/>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052922"/>
    <w:multiLevelType w:val="hybridMultilevel"/>
    <w:tmpl w:val="56043CA2"/>
    <w:lvl w:ilvl="0" w:tplc="3C76DB0A">
      <w:start w:val="1"/>
      <w:numFmt w:val="bullet"/>
      <w:lvlText w:val=""/>
      <w:lvlJc w:val="left"/>
      <w:pPr>
        <w:tabs>
          <w:tab w:val="num" w:pos="927"/>
        </w:tabs>
        <w:ind w:left="927" w:hanging="360"/>
      </w:pPr>
      <w:rPr>
        <w:rFonts w:ascii="Wingdings" w:hAnsi="Wingdings" w:hint="default"/>
        <w:b/>
        <w:i w:val="0"/>
        <w:color w:val="99CC00"/>
        <w:sz w:val="16"/>
        <w:szCs w:val="16"/>
      </w:rPr>
    </w:lvl>
    <w:lvl w:ilvl="1" w:tplc="A716685A">
      <w:start w:val="1"/>
      <w:numFmt w:val="bullet"/>
      <w:pStyle w:val="Bullet2"/>
      <w:lvlText w:val="&gt;"/>
      <w:lvlJc w:val="left"/>
      <w:pPr>
        <w:tabs>
          <w:tab w:val="num" w:pos="1440"/>
        </w:tabs>
        <w:ind w:left="1440" w:hanging="360"/>
      </w:pPr>
      <w:rPr>
        <w:rFonts w:ascii="Courier New" w:hAnsi="Courier New" w:hint="default"/>
        <w:b/>
        <w:i w:val="0"/>
        <w:color w:val="8EBD3F"/>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3D6EB0"/>
    <w:multiLevelType w:val="hybridMultilevel"/>
    <w:tmpl w:val="00EA7E98"/>
    <w:lvl w:ilvl="0" w:tplc="32D6A858">
      <w:start w:val="1"/>
      <w:numFmt w:val="bullet"/>
      <w:pStyle w:val="Tablebullet"/>
      <w:lvlText w:val=""/>
      <w:lvlJc w:val="left"/>
      <w:pPr>
        <w:ind w:left="360" w:hanging="360"/>
      </w:pPr>
      <w:rPr>
        <w:rFonts w:ascii="Symbol" w:hAnsi="Symbol" w:hint="default"/>
        <w:color w:val="8EBD3F"/>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2AC0355D"/>
    <w:multiLevelType w:val="hybridMultilevel"/>
    <w:tmpl w:val="BFF834D0"/>
    <w:lvl w:ilvl="0" w:tplc="4E1E37F4">
      <w:start w:val="1"/>
      <w:numFmt w:val="bullet"/>
      <w:lvlText w:val="▪"/>
      <w:lvlJc w:val="left"/>
      <w:pPr>
        <w:ind w:left="360" w:hanging="360"/>
      </w:pPr>
      <w:rPr>
        <w:rFonts w:ascii="Tahoma" w:hAnsi="Tahoma" w:hint="default"/>
        <w:b/>
        <w:i w:val="0"/>
        <w:color w:val="8EBD3F"/>
        <w:sz w:val="3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941273E"/>
    <w:multiLevelType w:val="hybridMultilevel"/>
    <w:tmpl w:val="EC8E8B92"/>
    <w:lvl w:ilvl="0" w:tplc="5D96D6DA">
      <w:start w:val="1"/>
      <w:numFmt w:val="bullet"/>
      <w:lvlText w:val=""/>
      <w:lvlJc w:val="left"/>
      <w:pPr>
        <w:tabs>
          <w:tab w:val="num" w:pos="811"/>
        </w:tabs>
        <w:ind w:left="811" w:hanging="227"/>
      </w:pPr>
      <w:rPr>
        <w:rFonts w:ascii="Symbol" w:hAnsi="Symbol" w:hint="default"/>
      </w:rPr>
    </w:lvl>
    <w:lvl w:ilvl="1" w:tplc="04090003" w:tentative="1">
      <w:start w:val="1"/>
      <w:numFmt w:val="bullet"/>
      <w:lvlText w:val="o"/>
      <w:lvlJc w:val="left"/>
      <w:pPr>
        <w:tabs>
          <w:tab w:val="num" w:pos="1457"/>
        </w:tabs>
        <w:ind w:left="1457" w:hanging="360"/>
      </w:pPr>
      <w:rPr>
        <w:rFonts w:ascii="Courier New" w:hAnsi="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7">
    <w:nsid w:val="607711D0"/>
    <w:multiLevelType w:val="hybridMultilevel"/>
    <w:tmpl w:val="F02C652C"/>
    <w:lvl w:ilvl="0" w:tplc="DDF6A6EE">
      <w:start w:val="1"/>
      <w:numFmt w:val="decimal"/>
      <w:pStyle w:val="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nsid w:val="73902EBF"/>
    <w:multiLevelType w:val="hybridMultilevel"/>
    <w:tmpl w:val="1682FFB8"/>
    <w:lvl w:ilvl="0" w:tplc="F6F81D9A">
      <w:start w:val="1"/>
      <w:numFmt w:val="bullet"/>
      <w:pStyle w:val="Listbullet2"/>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57"/>
        </w:tabs>
        <w:ind w:left="1457" w:hanging="360"/>
      </w:pPr>
      <w:rPr>
        <w:rFonts w:ascii="Courier New" w:hAnsi="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9">
    <w:nsid w:val="7A7A7C2F"/>
    <w:multiLevelType w:val="hybridMultilevel"/>
    <w:tmpl w:val="873ED11A"/>
    <w:lvl w:ilvl="0" w:tplc="C6F0755A">
      <w:start w:val="1"/>
      <w:numFmt w:val="bullet"/>
      <w:lvlText w:val=""/>
      <w:lvlJc w:val="left"/>
      <w:pPr>
        <w:tabs>
          <w:tab w:val="num" w:pos="227"/>
        </w:tabs>
        <w:ind w:left="227"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B0A7E9D"/>
    <w:multiLevelType w:val="hybridMultilevel"/>
    <w:tmpl w:val="78222566"/>
    <w:lvl w:ilvl="0" w:tplc="CC125D7A">
      <w:start w:val="1"/>
      <w:numFmt w:val="bullet"/>
      <w:pStyle w:val="List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3"/>
  </w:num>
  <w:num w:numId="3">
    <w:abstractNumId w:val="2"/>
  </w:num>
  <w:num w:numId="4">
    <w:abstractNumId w:val="5"/>
  </w:num>
  <w:num w:numId="5">
    <w:abstractNumId w:val="2"/>
  </w:num>
  <w:num w:numId="6">
    <w:abstractNumId w:val="4"/>
  </w:num>
  <w:num w:numId="7">
    <w:abstractNumId w:val="0"/>
  </w:num>
  <w:num w:numId="8">
    <w:abstractNumId w:val="7"/>
  </w:num>
  <w:num w:numId="9">
    <w:abstractNumId w:val="1"/>
  </w:num>
  <w:num w:numId="10">
    <w:abstractNumId w:val="2"/>
  </w:num>
  <w:num w:numId="11">
    <w:abstractNumId w:val="2"/>
  </w:num>
  <w:num w:numId="12">
    <w:abstractNumId w:val="2"/>
  </w:num>
  <w:num w:numId="13">
    <w:abstractNumId w:val="6"/>
  </w:num>
  <w:num w:numId="14">
    <w:abstractNumId w:val="10"/>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hdrShapeDefaults>
    <o:shapedefaults v:ext="edit" spidmax="236546"/>
  </w:hdrShapeDefaults>
  <w:footnotePr>
    <w:footnote w:id="0"/>
    <w:footnote w:id="1"/>
  </w:footnotePr>
  <w:endnotePr>
    <w:endnote w:id="0"/>
    <w:endnote w:id="1"/>
  </w:endnotePr>
  <w:compat/>
  <w:rsids>
    <w:rsidRoot w:val="00DE39DB"/>
    <w:rsid w:val="000276A1"/>
    <w:rsid w:val="0004724D"/>
    <w:rsid w:val="00060A44"/>
    <w:rsid w:val="00071DFE"/>
    <w:rsid w:val="000770F6"/>
    <w:rsid w:val="00091CF4"/>
    <w:rsid w:val="000A5496"/>
    <w:rsid w:val="000C2324"/>
    <w:rsid w:val="000C2E2D"/>
    <w:rsid w:val="000D00D3"/>
    <w:rsid w:val="0010334E"/>
    <w:rsid w:val="001068E6"/>
    <w:rsid w:val="001107C9"/>
    <w:rsid w:val="00110B61"/>
    <w:rsid w:val="00115871"/>
    <w:rsid w:val="00123E4D"/>
    <w:rsid w:val="00131F72"/>
    <w:rsid w:val="00133D12"/>
    <w:rsid w:val="00134452"/>
    <w:rsid w:val="001446A8"/>
    <w:rsid w:val="001638A9"/>
    <w:rsid w:val="001675E9"/>
    <w:rsid w:val="00192C2D"/>
    <w:rsid w:val="001C7101"/>
    <w:rsid w:val="001E7163"/>
    <w:rsid w:val="001F05B3"/>
    <w:rsid w:val="00221D12"/>
    <w:rsid w:val="00236D7D"/>
    <w:rsid w:val="002422D9"/>
    <w:rsid w:val="00273346"/>
    <w:rsid w:val="00291EB3"/>
    <w:rsid w:val="00297F61"/>
    <w:rsid w:val="002B4F0F"/>
    <w:rsid w:val="002D05AD"/>
    <w:rsid w:val="002F27D3"/>
    <w:rsid w:val="00303021"/>
    <w:rsid w:val="0033599F"/>
    <w:rsid w:val="00341822"/>
    <w:rsid w:val="003421D7"/>
    <w:rsid w:val="00345553"/>
    <w:rsid w:val="003479DA"/>
    <w:rsid w:val="00351D3D"/>
    <w:rsid w:val="00354FB8"/>
    <w:rsid w:val="003579E0"/>
    <w:rsid w:val="00367318"/>
    <w:rsid w:val="00374151"/>
    <w:rsid w:val="003A3397"/>
    <w:rsid w:val="003A54B4"/>
    <w:rsid w:val="003A72A1"/>
    <w:rsid w:val="003C4ABE"/>
    <w:rsid w:val="003C6EC1"/>
    <w:rsid w:val="003D1ED3"/>
    <w:rsid w:val="003D668A"/>
    <w:rsid w:val="003E1C5C"/>
    <w:rsid w:val="003F77A9"/>
    <w:rsid w:val="004054A8"/>
    <w:rsid w:val="00407122"/>
    <w:rsid w:val="0041282F"/>
    <w:rsid w:val="00417DFA"/>
    <w:rsid w:val="00424AF2"/>
    <w:rsid w:val="00433C3F"/>
    <w:rsid w:val="0043796E"/>
    <w:rsid w:val="00437BE4"/>
    <w:rsid w:val="00456B4E"/>
    <w:rsid w:val="004705A7"/>
    <w:rsid w:val="00491AC6"/>
    <w:rsid w:val="004C6143"/>
    <w:rsid w:val="004F4712"/>
    <w:rsid w:val="00501E3A"/>
    <w:rsid w:val="00515A8E"/>
    <w:rsid w:val="00516743"/>
    <w:rsid w:val="00530F7E"/>
    <w:rsid w:val="005559E5"/>
    <w:rsid w:val="00555E8F"/>
    <w:rsid w:val="0055607F"/>
    <w:rsid w:val="00560A6D"/>
    <w:rsid w:val="00581F54"/>
    <w:rsid w:val="0058735E"/>
    <w:rsid w:val="0058799D"/>
    <w:rsid w:val="005A0ABF"/>
    <w:rsid w:val="005E7F6B"/>
    <w:rsid w:val="005F0CD9"/>
    <w:rsid w:val="005F502C"/>
    <w:rsid w:val="005F528D"/>
    <w:rsid w:val="006025FB"/>
    <w:rsid w:val="006115DD"/>
    <w:rsid w:val="00622D82"/>
    <w:rsid w:val="00622D8B"/>
    <w:rsid w:val="006353A4"/>
    <w:rsid w:val="00645EEF"/>
    <w:rsid w:val="0065083A"/>
    <w:rsid w:val="00673996"/>
    <w:rsid w:val="0067717F"/>
    <w:rsid w:val="006A1ED6"/>
    <w:rsid w:val="006A5C0D"/>
    <w:rsid w:val="006D0791"/>
    <w:rsid w:val="006D3632"/>
    <w:rsid w:val="006D4EFD"/>
    <w:rsid w:val="006E6595"/>
    <w:rsid w:val="0071448F"/>
    <w:rsid w:val="0072690D"/>
    <w:rsid w:val="007322E4"/>
    <w:rsid w:val="00736574"/>
    <w:rsid w:val="007423CD"/>
    <w:rsid w:val="00757509"/>
    <w:rsid w:val="00773843"/>
    <w:rsid w:val="007757C9"/>
    <w:rsid w:val="007962D7"/>
    <w:rsid w:val="007A2645"/>
    <w:rsid w:val="007A60ED"/>
    <w:rsid w:val="007B16E3"/>
    <w:rsid w:val="0080058E"/>
    <w:rsid w:val="00806B0C"/>
    <w:rsid w:val="008073E1"/>
    <w:rsid w:val="008115DC"/>
    <w:rsid w:val="00837A3B"/>
    <w:rsid w:val="0084297E"/>
    <w:rsid w:val="008546B9"/>
    <w:rsid w:val="008940B7"/>
    <w:rsid w:val="008A41D8"/>
    <w:rsid w:val="008A4663"/>
    <w:rsid w:val="008B31E6"/>
    <w:rsid w:val="008C7119"/>
    <w:rsid w:val="008C7B57"/>
    <w:rsid w:val="008D10C4"/>
    <w:rsid w:val="008D29A6"/>
    <w:rsid w:val="008E6E0B"/>
    <w:rsid w:val="008F53C6"/>
    <w:rsid w:val="008F6F0D"/>
    <w:rsid w:val="008F7F5B"/>
    <w:rsid w:val="00901E61"/>
    <w:rsid w:val="00905061"/>
    <w:rsid w:val="00912077"/>
    <w:rsid w:val="009151BF"/>
    <w:rsid w:val="00986121"/>
    <w:rsid w:val="009A200B"/>
    <w:rsid w:val="009A2D4F"/>
    <w:rsid w:val="009B1FBF"/>
    <w:rsid w:val="009D1118"/>
    <w:rsid w:val="009E14CB"/>
    <w:rsid w:val="009F1DBF"/>
    <w:rsid w:val="009F3A39"/>
    <w:rsid w:val="009F5BB2"/>
    <w:rsid w:val="009F7A96"/>
    <w:rsid w:val="00A01B8D"/>
    <w:rsid w:val="00A05CEA"/>
    <w:rsid w:val="00A146E5"/>
    <w:rsid w:val="00A411CA"/>
    <w:rsid w:val="00A9418E"/>
    <w:rsid w:val="00AB51EE"/>
    <w:rsid w:val="00AC1168"/>
    <w:rsid w:val="00AD3002"/>
    <w:rsid w:val="00AD64A6"/>
    <w:rsid w:val="00B00061"/>
    <w:rsid w:val="00B0018C"/>
    <w:rsid w:val="00B03DA0"/>
    <w:rsid w:val="00B304F8"/>
    <w:rsid w:val="00B406B8"/>
    <w:rsid w:val="00B40E6C"/>
    <w:rsid w:val="00B40F8D"/>
    <w:rsid w:val="00B82568"/>
    <w:rsid w:val="00BA256F"/>
    <w:rsid w:val="00BB3548"/>
    <w:rsid w:val="00BE00AF"/>
    <w:rsid w:val="00BE1458"/>
    <w:rsid w:val="00BE3B35"/>
    <w:rsid w:val="00BF225F"/>
    <w:rsid w:val="00C132A3"/>
    <w:rsid w:val="00C14E00"/>
    <w:rsid w:val="00C34A70"/>
    <w:rsid w:val="00C4240C"/>
    <w:rsid w:val="00C64AD3"/>
    <w:rsid w:val="00CA3527"/>
    <w:rsid w:val="00CB1560"/>
    <w:rsid w:val="00CC33FD"/>
    <w:rsid w:val="00CD799F"/>
    <w:rsid w:val="00D0468C"/>
    <w:rsid w:val="00D359F1"/>
    <w:rsid w:val="00D51E93"/>
    <w:rsid w:val="00D601F4"/>
    <w:rsid w:val="00D71F87"/>
    <w:rsid w:val="00DD555F"/>
    <w:rsid w:val="00DE39DB"/>
    <w:rsid w:val="00DF3D11"/>
    <w:rsid w:val="00DF48C5"/>
    <w:rsid w:val="00DF4BA5"/>
    <w:rsid w:val="00E1146F"/>
    <w:rsid w:val="00E265BE"/>
    <w:rsid w:val="00E27DFE"/>
    <w:rsid w:val="00E67B58"/>
    <w:rsid w:val="00E70BAB"/>
    <w:rsid w:val="00E70E09"/>
    <w:rsid w:val="00E810C3"/>
    <w:rsid w:val="00E85C29"/>
    <w:rsid w:val="00E8761E"/>
    <w:rsid w:val="00E9452F"/>
    <w:rsid w:val="00EB33E0"/>
    <w:rsid w:val="00EC15D0"/>
    <w:rsid w:val="00EE0C69"/>
    <w:rsid w:val="00EE2CBA"/>
    <w:rsid w:val="00EE3AF5"/>
    <w:rsid w:val="00EE4050"/>
    <w:rsid w:val="00EF260D"/>
    <w:rsid w:val="00EF58DC"/>
    <w:rsid w:val="00EF7825"/>
    <w:rsid w:val="00F0507E"/>
    <w:rsid w:val="00F45A43"/>
    <w:rsid w:val="00F50450"/>
    <w:rsid w:val="00F7746C"/>
    <w:rsid w:val="00F920BF"/>
    <w:rsid w:val="00FE18F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5C"/>
    <w:pPr>
      <w:spacing w:after="240" w:line="240" w:lineRule="auto"/>
    </w:pPr>
    <w:rPr>
      <w:rFonts w:ascii="Arial" w:eastAsia="Times New Roman" w:hAnsi="Arial" w:cs="Times New Roman"/>
      <w:szCs w:val="24"/>
      <w:lang w:val="en-GB"/>
    </w:rPr>
  </w:style>
  <w:style w:type="paragraph" w:styleId="Heading1">
    <w:name w:val="heading 1"/>
    <w:basedOn w:val="Normal"/>
    <w:next w:val="Normal"/>
    <w:link w:val="Heading1Char"/>
    <w:qFormat/>
    <w:rsid w:val="00EE4050"/>
    <w:pPr>
      <w:keepNext/>
      <w:pBdr>
        <w:bottom w:val="single" w:sz="6" w:space="1" w:color="8EBD3F"/>
      </w:pBdr>
      <w:spacing w:before="360" w:after="360"/>
      <w:outlineLvl w:val="0"/>
    </w:pPr>
    <w:rPr>
      <w:rFonts w:ascii="Tahoma" w:hAnsi="Tahoma"/>
      <w:color w:val="000000" w:themeColor="text1"/>
      <w:sz w:val="36"/>
      <w:szCs w:val="32"/>
      <w:lang w:eastAsia="en-NZ"/>
    </w:rPr>
  </w:style>
  <w:style w:type="paragraph" w:styleId="Heading2">
    <w:name w:val="heading 2"/>
    <w:basedOn w:val="Normal"/>
    <w:next w:val="Normal"/>
    <w:link w:val="Heading2Char"/>
    <w:unhideWhenUsed/>
    <w:qFormat/>
    <w:rsid w:val="00EE4050"/>
    <w:pPr>
      <w:keepNext/>
      <w:spacing w:before="240"/>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outlineLvl w:val="3"/>
    </w:pPr>
    <w:rPr>
      <w:rFonts w:eastAsiaTheme="majorEastAsia" w:cstheme="majorBidi"/>
      <w:b/>
      <w:bCs/>
      <w:iCs/>
      <w:sz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rsid w:val="00905061"/>
    <w:pPr>
      <w:ind w:left="720"/>
      <w:contextualSpacing/>
    </w:pPr>
  </w:style>
  <w:style w:type="paragraph" w:customStyle="1" w:styleId="Bullet1">
    <w:name w:val="Bullet1"/>
    <w:basedOn w:val="Normal"/>
    <w:link w:val="Bullet1Char"/>
    <w:qFormat/>
    <w:rsid w:val="00EE4050"/>
    <w:pPr>
      <w:numPr>
        <w:numId w:val="5"/>
      </w:numPr>
    </w:pPr>
    <w:rPr>
      <w:lang w:eastAsia="en-NZ"/>
    </w:rPr>
  </w:style>
  <w:style w:type="paragraph" w:customStyle="1" w:styleId="Bullet2">
    <w:name w:val="Bullet2"/>
    <w:basedOn w:val="Bullet1"/>
    <w:rsid w:val="009151BF"/>
    <w:pPr>
      <w:numPr>
        <w:ilvl w:val="1"/>
        <w:numId w:val="2"/>
      </w:numPr>
      <w:tabs>
        <w:tab w:val="clear" w:pos="1440"/>
        <w:tab w:val="num" w:pos="567"/>
      </w:tabs>
      <w:ind w:left="568" w:hanging="284"/>
    </w:pPr>
    <w:rPr>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6"/>
      </w:numPr>
      <w:spacing w:before="40" w:after="0"/>
      <w:ind w:left="198" w:hanging="198"/>
    </w:pPr>
    <w:rPr>
      <w:sz w:val="21"/>
      <w:szCs w:val="20"/>
      <w:lang w:eastAsia="en-NZ"/>
    </w:rPr>
  </w:style>
  <w:style w:type="paragraph" w:customStyle="1" w:styleId="Tablenormal0">
    <w:name w:val="Table normal"/>
    <w:basedOn w:val="Normal"/>
    <w:qFormat/>
    <w:rsid w:val="00645EEF"/>
    <w:pPr>
      <w:spacing w:before="40" w:after="0"/>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8"/>
      </w:numPr>
      <w:ind w:left="284" w:hanging="284"/>
    </w:pPr>
  </w:style>
  <w:style w:type="paragraph" w:customStyle="1" w:styleId="Tablenumbering">
    <w:name w:val="Table numbering"/>
    <w:basedOn w:val="Tablenormal0"/>
    <w:qFormat/>
    <w:rsid w:val="00374151"/>
    <w:pPr>
      <w:numPr>
        <w:numId w:val="9"/>
      </w:numPr>
      <w:ind w:left="198" w:hanging="198"/>
    </w:pPr>
  </w:style>
  <w:style w:type="paragraph" w:styleId="ListBullet">
    <w:name w:val="List Bullet"/>
    <w:basedOn w:val="Normal"/>
    <w:rsid w:val="003E1C5C"/>
    <w:pPr>
      <w:numPr>
        <w:numId w:val="14"/>
      </w:numPr>
      <w:tabs>
        <w:tab w:val="left" w:pos="7200"/>
      </w:tabs>
      <w:spacing w:after="120"/>
    </w:pPr>
    <w:rPr>
      <w:rFonts w:ascii="Palatino" w:hAnsi="Palatino"/>
      <w:lang w:val="en-AU"/>
    </w:rPr>
  </w:style>
  <w:style w:type="paragraph" w:customStyle="1" w:styleId="Listbullet2">
    <w:name w:val="List bullet 2"/>
    <w:basedOn w:val="Normal"/>
    <w:rsid w:val="003E1C5C"/>
    <w:pPr>
      <w:numPr>
        <w:numId w:val="15"/>
      </w:numPr>
      <w:spacing w:after="120"/>
    </w:pPr>
  </w:style>
  <w:style w:type="character" w:customStyle="1" w:styleId="Italics">
    <w:name w:val="Italics"/>
    <w:basedOn w:val="DefaultParagraphFont"/>
    <w:rsid w:val="003E1C5C"/>
    <w:rPr>
      <w:rFonts w:ascii="Arial" w:hAnsi="Arial" w:cs="Times New Roman"/>
      <w:i/>
      <w:sz w:val="22"/>
    </w:rPr>
  </w:style>
  <w:style w:type="paragraph" w:customStyle="1" w:styleId="Heading4-keybehaviours">
    <w:name w:val="Heading 4 - key behaviours"/>
    <w:basedOn w:val="Normal"/>
    <w:rsid w:val="003E1C5C"/>
    <w:pPr>
      <w:spacing w:after="120"/>
    </w:pPr>
    <w:rPr>
      <w:b/>
    </w:rPr>
  </w:style>
  <w:style w:type="character" w:styleId="Hyperlink">
    <w:name w:val="Hyperlink"/>
    <w:basedOn w:val="DefaultParagraphFont"/>
    <w:rsid w:val="007322E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90B3D32DE2F94EB814C4EC8950A77C" ma:contentTypeVersion="0" ma:contentTypeDescription="Create a new document." ma:contentTypeScope="" ma:versionID="d6c50407e0db16b52c27add83a6e02bd">
  <xsd:schema xmlns:xsd="http://www.w3.org/2001/XMLSchema" xmlns:p="http://schemas.microsoft.com/office/2006/metadata/properties" targetNamespace="http://schemas.microsoft.com/office/2006/metadata/properties" ma:root="true" ma:fieldsID="d4b14a69c75b4e1c6e028c14751cce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F409F56-BBC6-4527-B561-1FD8E8FE6630}">
  <ds:schemaRefs>
    <ds:schemaRef ds:uri="http://schemas.microsoft.com/office/2006/metadata/customXsn"/>
  </ds:schemaRefs>
</ds:datastoreItem>
</file>

<file path=customXml/itemProps2.xml><?xml version="1.0" encoding="utf-8"?>
<ds:datastoreItem xmlns:ds="http://schemas.openxmlformats.org/officeDocument/2006/customXml" ds:itemID="{6FB83A60-AFC8-454A-949B-83E2395B0216}">
  <ds:schemaRefs>
    <ds:schemaRef ds:uri="http://schemas.microsoft.com/office/2006/metadata/properties"/>
  </ds:schemaRefs>
</ds:datastoreItem>
</file>

<file path=customXml/itemProps3.xml><?xml version="1.0" encoding="utf-8"?>
<ds:datastoreItem xmlns:ds="http://schemas.openxmlformats.org/officeDocument/2006/customXml" ds:itemID="{10953048-5B7E-4132-92EA-82352A772691}">
  <ds:schemaRefs>
    <ds:schemaRef ds:uri="http://schemas.microsoft.com/sharepoint/v3/contenttype/forms"/>
  </ds:schemaRefs>
</ds:datastoreItem>
</file>

<file path=customXml/itemProps4.xml><?xml version="1.0" encoding="utf-8"?>
<ds:datastoreItem xmlns:ds="http://schemas.openxmlformats.org/officeDocument/2006/customXml" ds:itemID="{21ECFF6E-264D-48A6-AE7C-EF8EE181C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1480</Words>
  <Characters>8440</Characters>
  <Application>Microsoft Office Word</Application>
  <DocSecurity>0</DocSecurity>
  <Lines>70</Lines>
  <Paragraphs>19</Paragraphs>
  <ScaleCrop>false</ScaleCrop>
  <Company/>
  <LinksUpToDate>false</LinksUpToDate>
  <CharactersWithSpaces>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Young</dc:creator>
  <cp:keywords/>
  <dc:description/>
  <cp:lastModifiedBy>Katrina Young</cp:lastModifiedBy>
  <cp:revision>2</cp:revision>
  <cp:lastPrinted>2009-07-22T21:42:00Z</cp:lastPrinted>
  <dcterms:created xsi:type="dcterms:W3CDTF">2010-08-09T02:45:00Z</dcterms:created>
  <dcterms:modified xsi:type="dcterms:W3CDTF">2010-08-09T02:45:00Z</dcterms:modified>
</cp:coreProperties>
</file>