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4E" w:rsidRPr="00C73540" w:rsidRDefault="0010334E" w:rsidP="0010334E">
      <w:pPr>
        <w:pStyle w:val="Heading1"/>
        <w:rPr>
          <w:rFonts w:ascii="Palatino" w:hAnsi="Palatino"/>
          <w:lang w:val="en-AU"/>
        </w:rPr>
      </w:pPr>
      <w:bookmarkStart w:id="0" w:name="_Toc133914354"/>
      <w:r w:rsidRPr="00C73540">
        <w:rPr>
          <w:rFonts w:ascii="Palatino" w:hAnsi="Palatino"/>
          <w:lang w:val="en-AU"/>
        </w:rPr>
        <w:t>Lucky Dip</w:t>
      </w:r>
      <w:bookmarkEnd w:id="0"/>
    </w:p>
    <w:p w:rsidR="0010334E" w:rsidRPr="00C73540" w:rsidRDefault="0010334E" w:rsidP="0010334E">
      <w:pPr>
        <w:pStyle w:val="Heading2"/>
        <w:rPr>
          <w:rFonts w:ascii="Palatino" w:hAnsi="Palatino"/>
          <w:lang w:val="en-AU"/>
        </w:rPr>
      </w:pPr>
      <w:r w:rsidRPr="00C73540">
        <w:rPr>
          <w:rFonts w:ascii="Palatino" w:hAnsi="Palatino"/>
          <w:lang w:val="en-AU"/>
        </w:rPr>
        <w:t>by Philippa Werry</w:t>
      </w:r>
    </w:p>
    <w:p w:rsidR="0010334E" w:rsidRPr="00C73540" w:rsidRDefault="0010334E" w:rsidP="0010334E">
      <w:pPr>
        <w:pStyle w:val="Heading2"/>
        <w:rPr>
          <w:rFonts w:ascii="Palatino" w:hAnsi="Palatino"/>
          <w:lang w:val="en-AU"/>
        </w:rPr>
      </w:pPr>
      <w:r w:rsidRPr="00C73540">
        <w:rPr>
          <w:rFonts w:ascii="Palatino" w:hAnsi="Palatino"/>
          <w:lang w:val="en-AU"/>
        </w:rPr>
        <w:t>illustrations by Scott Kennedy</w:t>
      </w:r>
    </w:p>
    <w:p w:rsidR="0010334E" w:rsidRPr="00C73540" w:rsidRDefault="0010334E" w:rsidP="0010334E">
      <w:pPr>
        <w:rPr>
          <w:rFonts w:ascii="Palatino" w:hAnsi="Palatino"/>
          <w:lang w:val="en-AU"/>
        </w:rPr>
      </w:pPr>
      <w:r w:rsidRPr="00C73540">
        <w:rPr>
          <w:rFonts w:ascii="Palatino" w:hAnsi="Palatino"/>
          <w:lang w:val="en-AU"/>
        </w:rPr>
        <w:t>This text is levelled at Gold 1.</w:t>
      </w:r>
    </w:p>
    <w:p w:rsidR="0010334E" w:rsidRPr="00C73540" w:rsidRDefault="0010334E" w:rsidP="0010334E">
      <w:pPr>
        <w:pStyle w:val="Heading2"/>
        <w:rPr>
          <w:rFonts w:ascii="Palatino" w:hAnsi="Palatino"/>
          <w:lang w:val="en-AU"/>
        </w:rPr>
      </w:pPr>
      <w:r w:rsidRPr="00C73540">
        <w:rPr>
          <w:rFonts w:ascii="Palatino" w:hAnsi="Palatino"/>
          <w:lang w:val="en-AU"/>
        </w:rPr>
        <w:t xml:space="preserve">Overview  </w:t>
      </w:r>
    </w:p>
    <w:p w:rsidR="0010334E" w:rsidRPr="00C73540" w:rsidRDefault="0010334E" w:rsidP="0010334E">
      <w:pPr>
        <w:rPr>
          <w:rFonts w:ascii="Palatino" w:hAnsi="Palatino"/>
          <w:lang w:val="en-AU"/>
        </w:rPr>
      </w:pPr>
      <w:r w:rsidRPr="00C73540">
        <w:rPr>
          <w:rFonts w:ascii="Palatino" w:hAnsi="Palatino"/>
          <w:lang w:val="en-AU"/>
        </w:rPr>
        <w:t xml:space="preserve">Tiana and Luka don’t know what to do for their birthdays.  A party shop looks promising – but then some misbehaving dogs come and mess things up.  The children have to come up with an innovative solution to save their (and the shopkeeper’s) day. </w:t>
      </w:r>
    </w:p>
    <w:p w:rsidR="0010334E" w:rsidRPr="00C73540" w:rsidRDefault="0010334E" w:rsidP="0010334E">
      <w:pPr>
        <w:rPr>
          <w:rFonts w:ascii="Palatino" w:hAnsi="Palatino"/>
          <w:lang w:val="en-AU"/>
        </w:rPr>
      </w:pPr>
      <w:r w:rsidRPr="00C73540">
        <w:rPr>
          <w:rFonts w:ascii="Palatino" w:hAnsi="Palatino"/>
          <w:lang w:val="en-AU"/>
        </w:rPr>
        <w:t xml:space="preserve">This humorous play includes many clues that provide opportunities for students to form and test hypotheses about the outcome.  The play allows for a large group of students to participate (once they have read it as a guided text). </w:t>
      </w:r>
    </w:p>
    <w:p w:rsidR="0010334E" w:rsidRPr="00C73540" w:rsidRDefault="0010334E" w:rsidP="0010334E">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10334E" w:rsidRPr="00C73540" w:rsidRDefault="0010334E" w:rsidP="0010334E">
      <w:pPr>
        <w:pStyle w:val="Heading2"/>
        <w:rPr>
          <w:rFonts w:ascii="Palatino" w:hAnsi="Palatino"/>
          <w:lang w:val="en-AU"/>
        </w:rPr>
      </w:pPr>
      <w:r w:rsidRPr="00C73540">
        <w:rPr>
          <w:rFonts w:ascii="Palatino" w:hAnsi="Palatino"/>
          <w:lang w:val="en-AU"/>
        </w:rPr>
        <w:t xml:space="preserve">Related texts </w:t>
      </w:r>
    </w:p>
    <w:p w:rsidR="0010334E" w:rsidRPr="00C73540" w:rsidRDefault="0010334E" w:rsidP="0010334E">
      <w:pPr>
        <w:pStyle w:val="ListBullet"/>
      </w:pPr>
      <w:r w:rsidRPr="00C73540">
        <w:t>Other humorous plays, stories, and poems by Philippa Werry: “The Best Fruit Shop in Town” (JJ 19) and “Morning Muddle” (JJ 24), which share similar themes or plot structures.</w:t>
      </w:r>
    </w:p>
    <w:p w:rsidR="0010334E" w:rsidRPr="00C73540" w:rsidRDefault="0010334E" w:rsidP="0010334E">
      <w:pPr>
        <w:pStyle w:val="Heading2"/>
        <w:rPr>
          <w:rFonts w:ascii="Palatino" w:hAnsi="Palatino"/>
          <w:lang w:val="en-AU"/>
        </w:rPr>
      </w:pPr>
      <w:bookmarkStart w:id="1" w:name="OLE_LINK11"/>
      <w:bookmarkStart w:id="2" w:name="OLE_LINK12"/>
      <w:r w:rsidRPr="00C73540">
        <w:rPr>
          <w:rFonts w:ascii="Palatino" w:hAnsi="Palatino"/>
          <w:lang w:val="en-AU"/>
        </w:rPr>
        <w:t xml:space="preserve">Text characteristics that relate to the reading standard for after three years at school </w:t>
      </w:r>
    </w:p>
    <w:p w:rsidR="0010334E" w:rsidRPr="00C73540" w:rsidRDefault="0010334E" w:rsidP="0010334E">
      <w:pPr>
        <w:pStyle w:val="ListBullet"/>
        <w:rPr>
          <w:b/>
        </w:rPr>
      </w:pPr>
      <w:r w:rsidRPr="00C73540">
        <w:t xml:space="preserve">The unrealistic, humorous context </w:t>
      </w:r>
    </w:p>
    <w:p w:rsidR="0010334E" w:rsidRPr="00C73540" w:rsidRDefault="0010334E" w:rsidP="0010334E">
      <w:pPr>
        <w:pStyle w:val="ListBullet"/>
      </w:pPr>
      <w:r w:rsidRPr="00C73540">
        <w:t>Many characters (ten, with parts of varying difficulty), many events and more than one storyline – the two problems (the need to decide on a party and the mixed-up party boxes) and the related solutions</w:t>
      </w:r>
    </w:p>
    <w:p w:rsidR="0010334E" w:rsidRPr="00C73540" w:rsidRDefault="0010334E" w:rsidP="0010334E">
      <w:pPr>
        <w:pStyle w:val="ListBullet"/>
      </w:pPr>
      <w:r w:rsidRPr="00C73540">
        <w:t>A mix of explicit and implicit content within text and illustrations that requires students to infer characterisation and form hypotheses about the unfolding events, for example:</w:t>
      </w:r>
    </w:p>
    <w:p w:rsidR="0010334E" w:rsidRPr="00C73540" w:rsidRDefault="0010334E" w:rsidP="0010334E">
      <w:pPr>
        <w:pStyle w:val="Listbullet2"/>
        <w:rPr>
          <w:rFonts w:ascii="Palatino" w:hAnsi="Palatino"/>
        </w:rPr>
      </w:pPr>
      <w:r w:rsidRPr="00C73540">
        <w:rPr>
          <w:rFonts w:ascii="Palatino" w:hAnsi="Palatino"/>
        </w:rPr>
        <w:t xml:space="preserve">the humour, conveyed through the idea of a party that can run itself being available in a box and also conveyed through the dialogue </w:t>
      </w:r>
    </w:p>
    <w:p w:rsidR="0010334E" w:rsidRPr="00C73540" w:rsidRDefault="0010334E" w:rsidP="0010334E">
      <w:pPr>
        <w:pStyle w:val="Listbullet2"/>
        <w:rPr>
          <w:rFonts w:ascii="Palatino" w:hAnsi="Palatino"/>
        </w:rPr>
      </w:pPr>
      <w:r w:rsidRPr="00C73540">
        <w:rPr>
          <w:rFonts w:ascii="Palatino" w:hAnsi="Palatino"/>
        </w:rPr>
        <w:t>the gradual building of plot confusion, including new characters and new clues to the outcome, for example, the repeated message “Just don’t mix them up!” (page 27) and “But perhaps you could leave your dogs outside” (page 28)</w:t>
      </w:r>
    </w:p>
    <w:p w:rsidR="0010334E" w:rsidRPr="00C73540" w:rsidRDefault="0010334E" w:rsidP="0010334E">
      <w:pPr>
        <w:pStyle w:val="Listbullet2"/>
        <w:rPr>
          <w:rFonts w:ascii="Palatino" w:hAnsi="Palatino"/>
        </w:rPr>
      </w:pPr>
      <w:r w:rsidRPr="00C73540">
        <w:rPr>
          <w:rFonts w:ascii="Palatino" w:hAnsi="Palatino"/>
        </w:rPr>
        <w:t xml:space="preserve">the strong characterisation (for example, the slightly eccentric shopkeeper, the snobbish customer), conveyed mostly through the dialogue, including the punctuation, and also through the stage directions (for example, </w:t>
      </w:r>
      <w:r w:rsidRPr="00C73540">
        <w:rPr>
          <w:rFonts w:ascii="Palatino" w:hAnsi="Palatino"/>
          <w:i/>
        </w:rPr>
        <w:t>“</w:t>
      </w:r>
      <w:r w:rsidRPr="00C73540">
        <w:rPr>
          <w:rStyle w:val="Italics"/>
          <w:rFonts w:ascii="Palatino" w:hAnsi="Palatino"/>
          <w:i w:val="0"/>
        </w:rPr>
        <w:t>bursting through the door</w:t>
      </w:r>
      <w:r w:rsidRPr="00C73540">
        <w:rPr>
          <w:rFonts w:ascii="Palatino" w:hAnsi="Palatino"/>
          <w:i/>
        </w:rPr>
        <w:t>”, “</w:t>
      </w:r>
      <w:r w:rsidRPr="00C73540">
        <w:rPr>
          <w:rStyle w:val="Italics"/>
          <w:rFonts w:ascii="Palatino" w:hAnsi="Palatino"/>
          <w:i w:val="0"/>
        </w:rPr>
        <w:t>sweep out of the shop</w:t>
      </w:r>
      <w:r w:rsidRPr="00C73540">
        <w:rPr>
          <w:rFonts w:ascii="Palatino" w:hAnsi="Palatino"/>
          <w:i/>
        </w:rPr>
        <w:t>”)</w:t>
      </w:r>
    </w:p>
    <w:p w:rsidR="0010334E" w:rsidRPr="00C73540" w:rsidRDefault="0010334E" w:rsidP="0010334E">
      <w:pPr>
        <w:pStyle w:val="Listbullet2"/>
        <w:rPr>
          <w:rFonts w:ascii="Palatino" w:hAnsi="Palatino"/>
        </w:rPr>
      </w:pPr>
      <w:r w:rsidRPr="00C73540">
        <w:rPr>
          <w:rFonts w:ascii="Palatino" w:hAnsi="Palatino"/>
        </w:rPr>
        <w:t>the illustrations on pages 28 and 29, in which the lines show where the dogs have been and the resulting chaos.</w:t>
      </w:r>
    </w:p>
    <w:p w:rsidR="0010334E" w:rsidRPr="00C73540" w:rsidRDefault="0010334E" w:rsidP="0010334E">
      <w:pPr>
        <w:pStyle w:val="ListBullet"/>
      </w:pPr>
      <w:r w:rsidRPr="00C73540">
        <w:t xml:space="preserve">Some unfamiliar words and phrases: “Pekinese”, the use of an apostrophe in “O’Connor”, “spooky”, “fancy-dress”, “labelling”, “leads”, “leashes”, “sweep out of the shop”; the new </w:t>
      </w:r>
      <w:r w:rsidRPr="00C73540">
        <w:lastRenderedPageBreak/>
        <w:t>meaning of “surprise party” (one of an uncertain type rather than an unexpected one) and the link with the title, “Lucky Dip”</w:t>
      </w:r>
    </w:p>
    <w:bookmarkEnd w:id="1"/>
    <w:bookmarkEnd w:id="2"/>
    <w:p w:rsidR="0010334E" w:rsidRPr="00C73540" w:rsidRDefault="0010334E" w:rsidP="0010334E">
      <w:pPr>
        <w:pStyle w:val="ListBullet"/>
      </w:pPr>
      <w:r w:rsidRPr="00C73540">
        <w:t>The print conventions of a play (visual language features), for example, coloured upper-case letters for character names and italics for stage directions</w:t>
      </w:r>
    </w:p>
    <w:p w:rsidR="0010334E" w:rsidRPr="00C73540" w:rsidRDefault="0010334E" w:rsidP="0010334E">
      <w:pPr>
        <w:pStyle w:val="ListBullet"/>
      </w:pPr>
      <w:r w:rsidRPr="00C73540">
        <w:t>A variety of sentence structures, including complex sentences, some of which are created through the syntax of the scene directions, for example, “TIANA and LUKA (</w:t>
      </w:r>
      <w:r w:rsidRPr="00C73540">
        <w:rPr>
          <w:i/>
        </w:rPr>
        <w:t>disappointed</w:t>
      </w:r>
      <w:r w:rsidRPr="00C73540">
        <w:t>)”, “MRS SALT (</w:t>
      </w:r>
      <w:r w:rsidRPr="00C73540">
        <w:rPr>
          <w:i/>
        </w:rPr>
        <w:t>bursting through the door, with</w:t>
      </w:r>
      <w:r w:rsidRPr="00C73540">
        <w:t xml:space="preserve"> SUGAR </w:t>
      </w:r>
      <w:r w:rsidRPr="00C73540">
        <w:rPr>
          <w:i/>
        </w:rPr>
        <w:t>and</w:t>
      </w:r>
      <w:r w:rsidRPr="00C73540">
        <w:t xml:space="preserve"> SPICE </w:t>
      </w:r>
      <w:r w:rsidRPr="00C73540">
        <w:rPr>
          <w:i/>
        </w:rPr>
        <w:t>on long leads</w:t>
      </w:r>
      <w:r w:rsidRPr="00C73540">
        <w:t>)”.</w:t>
      </w:r>
    </w:p>
    <w:p w:rsidR="0010334E" w:rsidRPr="00C73540" w:rsidRDefault="0010334E" w:rsidP="0010334E">
      <w:pPr>
        <w:pStyle w:val="Heading2"/>
        <w:rPr>
          <w:rFonts w:ascii="Palatino" w:hAnsi="Palatino"/>
          <w:lang w:val="en-AU"/>
        </w:rPr>
      </w:pPr>
      <w:r w:rsidRPr="00C73540">
        <w:rPr>
          <w:rFonts w:ascii="Palatino" w:hAnsi="Palatino"/>
          <w:lang w:val="en-AU"/>
        </w:rPr>
        <w:t>Suggested reading purposes</w:t>
      </w:r>
    </w:p>
    <w:p w:rsidR="0010334E" w:rsidRPr="00C73540" w:rsidRDefault="0010334E" w:rsidP="0010334E">
      <w:pPr>
        <w:rPr>
          <w:rFonts w:ascii="Palatino" w:hAnsi="Palatino"/>
          <w:i/>
        </w:rPr>
      </w:pPr>
      <w:r w:rsidRPr="00C73540">
        <w:rPr>
          <w:rFonts w:ascii="Palatino" w:hAnsi="Palatino"/>
          <w:i/>
        </w:rPr>
        <w:t>(What can the students expect to find out and/or think about as a result of reading this text?)</w:t>
      </w:r>
    </w:p>
    <w:p w:rsidR="0010334E" w:rsidRPr="00C73540" w:rsidRDefault="0010334E" w:rsidP="0010334E">
      <w:pPr>
        <w:pStyle w:val="ListBullet"/>
      </w:pPr>
      <w:r w:rsidRPr="00C73540">
        <w:t>To find out why this play is called “Lucky Dip”</w:t>
      </w:r>
    </w:p>
    <w:p w:rsidR="0010334E" w:rsidRPr="00C73540" w:rsidRDefault="0010334E" w:rsidP="0010334E">
      <w:pPr>
        <w:pStyle w:val="ListBullet"/>
      </w:pPr>
      <w:r w:rsidRPr="00C73540">
        <w:t xml:space="preserve">To find clues that help us interpret the play and read it for an audience </w:t>
      </w:r>
    </w:p>
    <w:p w:rsidR="0010334E" w:rsidRPr="00C73540" w:rsidRDefault="0010334E" w:rsidP="0010334E">
      <w:pPr>
        <w:pStyle w:val="Heading2"/>
        <w:rPr>
          <w:rFonts w:ascii="Palatino" w:hAnsi="Palatino"/>
          <w:lang w:val="en-AU"/>
        </w:rPr>
      </w:pPr>
      <w:r w:rsidRPr="00C73540">
        <w:rPr>
          <w:rFonts w:ascii="Palatino" w:hAnsi="Palatino"/>
          <w:lang w:val="en-AU"/>
        </w:rPr>
        <w:t>Setting a learning goal</w:t>
      </w:r>
    </w:p>
    <w:p w:rsidR="0010334E" w:rsidRPr="00C73540" w:rsidRDefault="0010334E" w:rsidP="0010334E">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10334E" w:rsidRPr="00C73540" w:rsidRDefault="0010334E" w:rsidP="0010334E">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10334E" w:rsidRPr="00C73540" w:rsidRDefault="0010334E" w:rsidP="0010334E">
      <w:pPr>
        <w:rPr>
          <w:rFonts w:ascii="Palatino" w:hAnsi="Palatino"/>
          <w:lang w:val="en-AU"/>
        </w:rPr>
      </w:pPr>
      <w:r w:rsidRPr="00C73540">
        <w:rPr>
          <w:rFonts w:ascii="Palatino" w:hAnsi="Palatino"/>
          <w:lang w:val="en-AU"/>
        </w:rPr>
        <w:t>This text provides opportunities for students to:</w:t>
      </w:r>
    </w:p>
    <w:p w:rsidR="0010334E" w:rsidRPr="00C73540" w:rsidRDefault="0010334E" w:rsidP="0010334E">
      <w:pPr>
        <w:pStyle w:val="ListBullet"/>
      </w:pPr>
      <w:r w:rsidRPr="00C73540">
        <w:t>form and test hypotheses (make predictions) about what will happen, using evidence in the text and their knowledge of similar plays</w:t>
      </w:r>
    </w:p>
    <w:p w:rsidR="0010334E" w:rsidRPr="00C73540" w:rsidRDefault="0010334E" w:rsidP="0010334E">
      <w:pPr>
        <w:pStyle w:val="ListBullet"/>
      </w:pPr>
      <w:r w:rsidRPr="00C73540">
        <w:t>infer</w:t>
      </w:r>
      <w:r w:rsidRPr="00C73540">
        <w:rPr>
          <w:b/>
        </w:rPr>
        <w:t xml:space="preserve"> </w:t>
      </w:r>
      <w:r w:rsidRPr="00C73540">
        <w:t>how the characters might speak and move, using text and visual clues and their own experiences of people.</w:t>
      </w:r>
    </w:p>
    <w:p w:rsidR="0010334E" w:rsidRPr="00C73540" w:rsidRDefault="0010334E" w:rsidP="0010334E">
      <w:pPr>
        <w:pStyle w:val="Heading2"/>
        <w:rPr>
          <w:rFonts w:ascii="Palatino" w:hAnsi="Palatino"/>
          <w:lang w:val="en-AU"/>
        </w:rPr>
      </w:pPr>
      <w:r w:rsidRPr="00C73540">
        <w:rPr>
          <w:rFonts w:ascii="Palatino" w:hAnsi="Palatino"/>
          <w:lang w:val="en-AU"/>
        </w:rPr>
        <w:t xml:space="preserve">Introducing the text </w:t>
      </w:r>
    </w:p>
    <w:p w:rsidR="0010334E" w:rsidRPr="00C73540" w:rsidRDefault="0010334E" w:rsidP="0010334E">
      <w:pPr>
        <w:pStyle w:val="ListBullet"/>
      </w:pPr>
      <w:r w:rsidRPr="00C73540">
        <w:t xml:space="preserve">Discuss the meaning of the title.  Clarify that people don’t know what they’ll get in a lucky dip. </w:t>
      </w:r>
    </w:p>
    <w:p w:rsidR="0010334E" w:rsidRPr="00C73540" w:rsidRDefault="0010334E" w:rsidP="0010334E">
      <w:pPr>
        <w:pStyle w:val="ListBullet"/>
      </w:pPr>
      <w:r w:rsidRPr="00C73540">
        <w:t xml:space="preserve">Draw attention to the author, character list, and illustrations.  </w:t>
      </w:r>
      <w:r w:rsidRPr="00C73540">
        <w:rPr>
          <w:i/>
        </w:rPr>
        <w:t xml:space="preserve">What sort of play do you think this might be?  Why? </w:t>
      </w:r>
      <w:r w:rsidRPr="00C73540">
        <w:t xml:space="preserve"> Prompt the students to make connections to any other plays they have read by Philippa Werry.  You could discuss what sort of person might have dogs like Sugar and Spice.</w:t>
      </w:r>
    </w:p>
    <w:p w:rsidR="0010334E" w:rsidRPr="00C73540" w:rsidRDefault="0010334E" w:rsidP="0010334E">
      <w:pPr>
        <w:pStyle w:val="ListBullet"/>
      </w:pPr>
      <w:r w:rsidRPr="00C73540">
        <w:t>Share the reading purpose and the learning goal (how they will achieve the purpose, for example, by forming hypotheses and inferring).  Discuss how the students need to notice clues in the dialogue, scene directions, and illustrations.  Remind them of the need to keep testing their hypotheses and inferences in the light of new information.</w:t>
      </w:r>
    </w:p>
    <w:p w:rsidR="0010334E" w:rsidRPr="00C73540" w:rsidRDefault="0010334E" w:rsidP="0010334E">
      <w:pPr>
        <w:pStyle w:val="ListBullet"/>
      </w:pPr>
      <w:r w:rsidRPr="00C73540">
        <w:t>Explain that the students will read the play together as a guided text before any roles are assigned to particular students.</w:t>
      </w:r>
    </w:p>
    <w:p w:rsidR="0010334E" w:rsidRPr="00C73540" w:rsidRDefault="0010334E" w:rsidP="0010334E">
      <w:pPr>
        <w:pStyle w:val="Heading2"/>
        <w:rPr>
          <w:rFonts w:ascii="Palatino" w:hAnsi="Palatino"/>
          <w:lang w:val="en-AU"/>
        </w:rPr>
      </w:pPr>
      <w:r w:rsidRPr="00C73540">
        <w:rPr>
          <w:rFonts w:ascii="Palatino" w:hAnsi="Palatino"/>
          <w:lang w:val="en-AU"/>
        </w:rPr>
        <w:t>Reading and discussing the text</w:t>
      </w:r>
    </w:p>
    <w:p w:rsidR="0010334E" w:rsidRPr="00C73540" w:rsidRDefault="0010334E" w:rsidP="0010334E">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could use to scaffold </w:t>
      </w:r>
      <w:r w:rsidRPr="00C73540">
        <w:rPr>
          <w:rFonts w:ascii="Palatino" w:hAnsi="Palatino"/>
          <w:lang w:val="en-AU"/>
        </w:rPr>
        <w:lastRenderedPageBreak/>
        <w:t xml:space="preserve">their learning.  Select and adapt from the suggestions, according to your students’ needs and experiences. </w:t>
      </w:r>
    </w:p>
    <w:p w:rsidR="0010334E" w:rsidRPr="00C73540" w:rsidRDefault="0010334E" w:rsidP="0010334E">
      <w:pPr>
        <w:pStyle w:val="Heading4-keybehaviours"/>
        <w:rPr>
          <w:rFonts w:ascii="Palatino" w:hAnsi="Palatino"/>
          <w:lang w:val="en-AU"/>
        </w:rPr>
      </w:pPr>
      <w:r w:rsidRPr="00C73540">
        <w:rPr>
          <w:rFonts w:ascii="Palatino" w:hAnsi="Palatino"/>
          <w:lang w:val="en-AU"/>
        </w:rPr>
        <w:t>The students form and test hypotheses about what will happen, using evidence in the text and their knowledge of similar plays.</w:t>
      </w:r>
    </w:p>
    <w:p w:rsidR="0010334E" w:rsidRPr="00C73540" w:rsidRDefault="0010334E" w:rsidP="0010334E">
      <w:pPr>
        <w:pStyle w:val="ListBullet"/>
        <w:rPr>
          <w:i/>
        </w:rPr>
      </w:pPr>
      <w:r w:rsidRPr="00C73540">
        <w:t xml:space="preserve">On page 25, support the students to identify the problem and apparent solution.  Model your thinking.  </w:t>
      </w:r>
      <w:r w:rsidRPr="00C73540">
        <w:rPr>
          <w:i/>
        </w:rPr>
        <w:t>It looks like the children have found a pretty good solution to their problem.  But looking at the style of the illustrations and remembering some other plays by Philippa Werry, I’m predicting that things will not go smoothly!</w:t>
      </w:r>
    </w:p>
    <w:p w:rsidR="0010334E" w:rsidRPr="00C73540" w:rsidRDefault="0010334E" w:rsidP="0010334E">
      <w:pPr>
        <w:pStyle w:val="ListBullet"/>
      </w:pPr>
      <w:r w:rsidRPr="00C73540">
        <w:t xml:space="preserve">Prompt the students to start thinking about the characters and how they might affect the outcome.  On page 27: </w:t>
      </w:r>
      <w:r w:rsidRPr="00C73540">
        <w:rPr>
          <w:i/>
        </w:rPr>
        <w:t>Does anything seem odd about what the shopkeeper does?</w:t>
      </w:r>
      <w:r w:rsidRPr="00C73540">
        <w:t xml:space="preserve">  Discuss the idea of a party in a box: </w:t>
      </w:r>
      <w:r w:rsidRPr="00C73540">
        <w:rPr>
          <w:i/>
        </w:rPr>
        <w:t>What might that look like?</w:t>
      </w:r>
    </w:p>
    <w:p w:rsidR="0010334E" w:rsidRPr="00C73540" w:rsidRDefault="0010334E" w:rsidP="0010334E">
      <w:pPr>
        <w:pStyle w:val="ListBullet"/>
        <w:rPr>
          <w:i/>
        </w:rPr>
      </w:pPr>
      <w:r w:rsidRPr="00C73540">
        <w:t xml:space="preserve">Model your attention to the foreshadowing.  </w:t>
      </w:r>
      <w:r w:rsidRPr="00C73540">
        <w:rPr>
          <w:i/>
        </w:rPr>
        <w:t>I’ve noticed that the shopkeeper repeats something on page 27</w:t>
      </w:r>
      <w:r w:rsidRPr="00C73540">
        <w:t xml:space="preserve">: </w:t>
      </w:r>
      <w:r w:rsidRPr="00C73540">
        <w:rPr>
          <w:i/>
        </w:rPr>
        <w:t>“don’t mix them up”.  I’ll keep that in mind as I read.</w:t>
      </w:r>
    </w:p>
    <w:p w:rsidR="0010334E" w:rsidRPr="00C73540" w:rsidRDefault="0010334E" w:rsidP="0010334E">
      <w:pPr>
        <w:pStyle w:val="ListBullet"/>
      </w:pPr>
      <w:r w:rsidRPr="00C73540">
        <w:t xml:space="preserve">After page 28, ask the students to discuss with a partner the clues they have noticed so far (for example, the unlabelled boxes, the warnings not to mix them up, the characterisation of Mrs Salt, the shopkeeper asking her to keep her dogs outside) and to form a hypothesis about is going to happen next.  Listen in and provide support as necessary. </w:t>
      </w:r>
    </w:p>
    <w:p w:rsidR="0010334E" w:rsidRPr="00C73540" w:rsidRDefault="0010334E" w:rsidP="0010334E">
      <w:pPr>
        <w:pStyle w:val="ListBullet"/>
      </w:pPr>
      <w:r w:rsidRPr="00C73540">
        <w:t>Have the students read page 29 and test and refine their hypotheses.</w:t>
      </w:r>
    </w:p>
    <w:p w:rsidR="0010334E" w:rsidRPr="00C73540" w:rsidRDefault="0010334E" w:rsidP="0010334E">
      <w:pPr>
        <w:pStyle w:val="ListBullet"/>
      </w:pPr>
      <w:r w:rsidRPr="00C73540">
        <w:t>Regroup again at the end of page 30.  “</w:t>
      </w:r>
      <w:r w:rsidRPr="00C73540">
        <w:rPr>
          <w:i/>
        </w:rPr>
        <w:t>I wonder what the pens are for – what’s going to happen?”</w:t>
      </w:r>
      <w:r w:rsidRPr="00C73540">
        <w:t xml:space="preserve">  If necessary, prompt the students to revisit the title for ideas.  Then have them read to the end and test their hypotheses.</w:t>
      </w:r>
    </w:p>
    <w:p w:rsidR="0010334E" w:rsidRPr="00C73540" w:rsidRDefault="0010334E" w:rsidP="0010334E">
      <w:pPr>
        <w:pStyle w:val="ListBullet"/>
      </w:pPr>
      <w:r w:rsidRPr="00C73540">
        <w:t xml:space="preserve">Revisit the learning goal and support the students to track how they met it.  Clarify the sequence of events (the problems and solutions) and the connection with the title “Lucky Dip”.  </w:t>
      </w:r>
      <w:r w:rsidRPr="00C73540">
        <w:rPr>
          <w:i/>
        </w:rPr>
        <w:t>Explain what helped you to make a hypothesis about what would happen.</w:t>
      </w:r>
      <w:r w:rsidRPr="00C73540">
        <w:t xml:space="preserve">  Review the clues they found. </w:t>
      </w:r>
    </w:p>
    <w:p w:rsidR="0010334E" w:rsidRPr="00C73540" w:rsidRDefault="0010334E" w:rsidP="0010334E">
      <w:pPr>
        <w:pStyle w:val="Heading4-keybehaviours"/>
        <w:rPr>
          <w:rFonts w:ascii="Palatino" w:hAnsi="Palatino"/>
          <w:lang w:val="en-AU"/>
        </w:rPr>
      </w:pPr>
      <w:r w:rsidRPr="00C73540">
        <w:rPr>
          <w:rFonts w:ascii="Palatino" w:hAnsi="Palatino"/>
          <w:lang w:val="en-AU"/>
        </w:rPr>
        <w:t>The students infer</w:t>
      </w:r>
      <w:r w:rsidRPr="00C73540">
        <w:rPr>
          <w:rFonts w:ascii="Palatino" w:hAnsi="Palatino"/>
          <w:b w:val="0"/>
          <w:lang w:val="en-AU"/>
        </w:rPr>
        <w:t xml:space="preserve"> </w:t>
      </w:r>
      <w:r w:rsidRPr="00C73540">
        <w:rPr>
          <w:rFonts w:ascii="Palatino" w:hAnsi="Palatino"/>
          <w:lang w:val="en-AU"/>
        </w:rPr>
        <w:t>how the characters might speak and move, guided by text and visual clues and their own experiences.</w:t>
      </w:r>
    </w:p>
    <w:p w:rsidR="0010334E" w:rsidRPr="00C73540" w:rsidRDefault="0010334E" w:rsidP="0010334E">
      <w:pPr>
        <w:pStyle w:val="ListBullet"/>
      </w:pPr>
      <w:r w:rsidRPr="00C73540">
        <w:t xml:space="preserve">Discuss the students’ impressions of the main characters and what helped them form their opinions.  Notice the supports in the text (including the names, specific dialogue, and stage directions) and the illustrations.  Encourage the students to make connections to their experiences of the ways people (including characters in books and films) behave in particular situations.  </w:t>
      </w:r>
    </w:p>
    <w:p w:rsidR="0010334E" w:rsidRPr="00C73540" w:rsidRDefault="0010334E" w:rsidP="0010334E">
      <w:pPr>
        <w:pStyle w:val="ListBullet"/>
      </w:pPr>
      <w:r w:rsidRPr="00C73540">
        <w:t>To support the students with the challenging syntax of some of the scene directions, model on the whiteboard how they can turn them into sentences, as in a narrative.  For example, “‘Oh!’ said Tiana and Luke, feeling disappointed” (page 26).  Or “‘Hello? Hello?’ said Mrs Salt, bursting through the door, with Sugar and Spice on long leads.  ‘Are you the party person?’” (page 28).</w:t>
      </w:r>
    </w:p>
    <w:p w:rsidR="0010334E" w:rsidRPr="00C73540" w:rsidRDefault="0010334E" w:rsidP="0010334E">
      <w:pPr>
        <w:pStyle w:val="Heading2"/>
        <w:rPr>
          <w:rFonts w:ascii="Palatino" w:hAnsi="Palatino"/>
          <w:lang w:val="en-AU"/>
        </w:rPr>
      </w:pPr>
      <w:r w:rsidRPr="00C73540">
        <w:rPr>
          <w:rFonts w:ascii="Palatino" w:hAnsi="Palatino"/>
          <w:lang w:val="en-AU"/>
        </w:rPr>
        <w:t>After reading</w:t>
      </w:r>
    </w:p>
    <w:p w:rsidR="0010334E" w:rsidRPr="00C73540" w:rsidRDefault="0010334E" w:rsidP="0010334E">
      <w:pPr>
        <w:pStyle w:val="ListBullet"/>
      </w:pPr>
      <w:r w:rsidRPr="00C73540">
        <w:t xml:space="preserve">Briefly share responses to the play.  </w:t>
      </w:r>
      <w:r w:rsidRPr="00C73540">
        <w:rPr>
          <w:i/>
        </w:rPr>
        <w:t>Did you find it funny?  What made it funny?</w:t>
      </w:r>
      <w:r w:rsidRPr="00C73540">
        <w:t xml:space="preserve"> </w:t>
      </w:r>
    </w:p>
    <w:p w:rsidR="0010334E" w:rsidRPr="00C73540" w:rsidRDefault="0010334E" w:rsidP="0010334E">
      <w:pPr>
        <w:pStyle w:val="ListBullet"/>
        <w:rPr>
          <w:i/>
        </w:rPr>
      </w:pPr>
      <w:r w:rsidRPr="00C73540">
        <w:t xml:space="preserve">Have the students share with a partner any words they found difficult and the strategies they used to work them out.  Listen to the discussions.  Do you need to follow up on any decoding strategies, particular words, or features of words?  For example, someone could demonstrate how to “sweep out of the shop”.  </w:t>
      </w:r>
      <w:r w:rsidRPr="00C73540">
        <w:rPr>
          <w:i/>
        </w:rPr>
        <w:t>What’s another way of saying this?</w:t>
      </w:r>
    </w:p>
    <w:p w:rsidR="0010334E" w:rsidRPr="00C73540" w:rsidRDefault="0010334E" w:rsidP="0010334E">
      <w:pPr>
        <w:pStyle w:val="ListBullet"/>
      </w:pPr>
      <w:r w:rsidRPr="00C73540">
        <w:t xml:space="preserve">Reread the play aloud, assigning students to the roles.  Refer to the earlier discussion during the reading to decide how their characters would sound and move.  </w:t>
      </w:r>
    </w:p>
    <w:p w:rsidR="0010334E" w:rsidRPr="00C73540" w:rsidRDefault="0010334E" w:rsidP="0010334E">
      <w:pPr>
        <w:pStyle w:val="ListBullet"/>
      </w:pPr>
      <w:r w:rsidRPr="00C73540">
        <w:lastRenderedPageBreak/>
        <w:t xml:space="preserve">The students can use the audio version on the </w:t>
      </w:r>
      <w:r w:rsidRPr="00C73540">
        <w:rPr>
          <w:rStyle w:val="Italics"/>
        </w:rPr>
        <w:t xml:space="preserve">Junior Journal 40 and 41 </w:t>
      </w:r>
      <w:r w:rsidRPr="00C73540">
        <w:t xml:space="preserve">CD as a model for expression.   They can then practise reading the play in pairs or small groups.  They could also take the play home to read with their family. </w:t>
      </w:r>
    </w:p>
    <w:p w:rsidR="0010334E" w:rsidRPr="00C73540" w:rsidRDefault="0010334E" w:rsidP="0010334E">
      <w:pPr>
        <w:pStyle w:val="ListBullet"/>
        <w:rPr>
          <w:i/>
        </w:rPr>
      </w:pPr>
      <w:r w:rsidRPr="00C73540">
        <w:t xml:space="preserve">In another session, the students can perform the play for an audience and later share their ideas and experiences.  </w:t>
      </w:r>
      <w:r w:rsidRPr="00C73540">
        <w:rPr>
          <w:i/>
        </w:rPr>
        <w:t xml:space="preserve">How would you describe your character? </w:t>
      </w:r>
    </w:p>
    <w:p w:rsidR="00EE4050" w:rsidRPr="0010334E" w:rsidRDefault="00EE4050" w:rsidP="0010334E"/>
    <w:sectPr w:rsidR="00EE4050" w:rsidRPr="0010334E"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10334E">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334E"/>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2010-08-09T02:43:00Z</dcterms:created>
  <dcterms:modified xsi:type="dcterms:W3CDTF">2010-08-09T02:43:00Z</dcterms:modified>
</cp:coreProperties>
</file>